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F1944"/>
    <w:p w14:paraId="1FA348CD">
      <w:pPr>
        <w:pageBreakBefore w:val="0"/>
        <w:kinsoku/>
        <w:wordWrap/>
        <w:overflowPunct/>
        <w:topLinePunct w:val="0"/>
        <w:bidi w:val="0"/>
        <w:snapToGrid/>
        <w:spacing w:line="560" w:lineRule="atLeast"/>
        <w:jc w:val="center"/>
        <w:rPr>
          <w:rFonts w:hint="default" w:ascii="Times New Roman" w:hAnsi="Times New Roman" w:eastAsia="华文中宋" w:cs="Times New Roman"/>
          <w:b/>
          <w:kern w:val="0"/>
          <w:sz w:val="52"/>
          <w:szCs w:val="52"/>
        </w:rPr>
      </w:pPr>
    </w:p>
    <w:p w14:paraId="7858E7A9">
      <w:pPr>
        <w:pageBreakBefore w:val="0"/>
        <w:kinsoku/>
        <w:wordWrap/>
        <w:overflowPunct/>
        <w:topLinePunct w:val="0"/>
        <w:bidi w:val="0"/>
        <w:snapToGrid/>
        <w:spacing w:line="560" w:lineRule="atLeast"/>
        <w:rPr>
          <w:rFonts w:hint="default" w:ascii="Times New Roman" w:hAnsi="Times New Roman" w:eastAsia="华文中宋" w:cs="Times New Roman"/>
          <w:b/>
          <w:kern w:val="0"/>
          <w:sz w:val="52"/>
          <w:szCs w:val="52"/>
        </w:rPr>
      </w:pPr>
    </w:p>
    <w:p w14:paraId="2F239507">
      <w:pPr>
        <w:pageBreakBefore w:val="0"/>
        <w:kinsoku/>
        <w:wordWrap/>
        <w:overflowPunct/>
        <w:topLinePunct w:val="0"/>
        <w:bidi w:val="0"/>
        <w:snapToGrid/>
        <w:spacing w:line="560" w:lineRule="atLeast"/>
        <w:jc w:val="center"/>
        <w:rPr>
          <w:rFonts w:hint="default" w:ascii="Times New Roman" w:hAnsi="Times New Roman" w:eastAsia="华文中宋" w:cs="Times New Roman"/>
          <w:b/>
          <w:kern w:val="0"/>
          <w:sz w:val="52"/>
          <w:szCs w:val="52"/>
        </w:rPr>
      </w:pPr>
    </w:p>
    <w:p w14:paraId="36DBFD31">
      <w:pPr>
        <w:pageBreakBefore w:val="0"/>
        <w:kinsoku/>
        <w:wordWrap/>
        <w:overflowPunct/>
        <w:topLinePunct w:val="0"/>
        <w:bidi w:val="0"/>
        <w:snapToGrid/>
        <w:spacing w:line="560" w:lineRule="atLeast"/>
        <w:jc w:val="center"/>
        <w:rPr>
          <w:rFonts w:hint="default" w:ascii="Times New Roman" w:hAnsi="Times New Roman" w:eastAsia="华文中宋" w:cs="Times New Roman"/>
          <w:b/>
          <w:kern w:val="0"/>
          <w:sz w:val="52"/>
          <w:szCs w:val="52"/>
        </w:rPr>
      </w:pPr>
    </w:p>
    <w:p w14:paraId="0369CFC2">
      <w:pPr>
        <w:pageBreakBefore w:val="0"/>
        <w:kinsoku/>
        <w:wordWrap/>
        <w:overflowPunct/>
        <w:topLinePunct w:val="0"/>
        <w:bidi w:val="0"/>
        <w:snapToGrid/>
        <w:spacing w:line="560" w:lineRule="atLeas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应急救护培训基地</w:t>
      </w:r>
      <w:r>
        <w:rPr>
          <w:rFonts w:hint="default" w:ascii="Times New Roman" w:hAnsi="Times New Roman" w:eastAsia="方正小标宋_GBK" w:cs="Times New Roman"/>
          <w:kern w:val="0"/>
          <w:sz w:val="48"/>
          <w:szCs w:val="48"/>
        </w:rPr>
        <w:t>项目支出绩效</w:t>
      </w:r>
    </w:p>
    <w:p w14:paraId="2A9AF2E2">
      <w:pPr>
        <w:pageBreakBefore w:val="0"/>
        <w:kinsoku/>
        <w:wordWrap/>
        <w:overflowPunct/>
        <w:topLinePunct w:val="0"/>
        <w:bidi w:val="0"/>
        <w:snapToGrid/>
        <w:spacing w:line="560" w:lineRule="atLeas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评价报告</w:t>
      </w:r>
    </w:p>
    <w:p w14:paraId="790E86AC">
      <w:pPr>
        <w:pageBreakBefore w:val="0"/>
        <w:kinsoku/>
        <w:wordWrap/>
        <w:overflowPunct/>
        <w:topLinePunct w:val="0"/>
        <w:bidi w:val="0"/>
        <w:snapToGrid/>
        <w:spacing w:line="560" w:lineRule="atLeast"/>
        <w:jc w:val="center"/>
        <w:rPr>
          <w:rFonts w:hint="default" w:ascii="Times New Roman" w:hAnsi="Times New Roman" w:eastAsia="华文中宋" w:cs="Times New Roman"/>
          <w:b/>
          <w:kern w:val="0"/>
          <w:sz w:val="52"/>
          <w:szCs w:val="52"/>
        </w:rPr>
      </w:pPr>
    </w:p>
    <w:p w14:paraId="5C39E04A">
      <w:pPr>
        <w:pageBreakBefore w:val="0"/>
        <w:kinsoku/>
        <w:wordWrap/>
        <w:overflowPunct/>
        <w:topLinePunct w:val="0"/>
        <w:bidi w:val="0"/>
        <w:snapToGrid/>
        <w:spacing w:line="560" w:lineRule="atLeas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2EFF701B">
      <w:pPr>
        <w:pageBreakBefore w:val="0"/>
        <w:kinsoku/>
        <w:wordWrap/>
        <w:overflowPunct/>
        <w:topLinePunct w:val="0"/>
        <w:bidi w:val="0"/>
        <w:snapToGrid/>
        <w:spacing w:line="560" w:lineRule="atLeast"/>
        <w:jc w:val="center"/>
        <w:rPr>
          <w:rFonts w:hint="default" w:ascii="Times New Roman" w:hAnsi="Times New Roman" w:eastAsia="仿宋_GB2312" w:cs="Times New Roman"/>
          <w:kern w:val="0"/>
          <w:sz w:val="30"/>
          <w:szCs w:val="30"/>
        </w:rPr>
      </w:pPr>
    </w:p>
    <w:p w14:paraId="10902B2D">
      <w:pPr>
        <w:pageBreakBefore w:val="0"/>
        <w:kinsoku/>
        <w:wordWrap/>
        <w:overflowPunct/>
        <w:topLinePunct w:val="0"/>
        <w:bidi w:val="0"/>
        <w:snapToGrid/>
        <w:spacing w:line="560" w:lineRule="atLeast"/>
        <w:jc w:val="center"/>
        <w:rPr>
          <w:rFonts w:hint="default" w:ascii="Times New Roman" w:hAnsi="Times New Roman" w:eastAsia="仿宋_GB2312" w:cs="Times New Roman"/>
          <w:kern w:val="0"/>
          <w:sz w:val="30"/>
          <w:szCs w:val="30"/>
        </w:rPr>
      </w:pPr>
    </w:p>
    <w:p w14:paraId="68E22535">
      <w:pPr>
        <w:pageBreakBefore w:val="0"/>
        <w:kinsoku/>
        <w:wordWrap/>
        <w:overflowPunct/>
        <w:topLinePunct w:val="0"/>
        <w:bidi w:val="0"/>
        <w:snapToGrid/>
        <w:spacing w:line="560" w:lineRule="atLeast"/>
        <w:jc w:val="center"/>
        <w:rPr>
          <w:rFonts w:hint="default" w:ascii="Times New Roman" w:hAnsi="Times New Roman" w:eastAsia="仿宋_GB2312" w:cs="Times New Roman"/>
          <w:kern w:val="0"/>
          <w:sz w:val="30"/>
          <w:szCs w:val="30"/>
        </w:rPr>
      </w:pPr>
    </w:p>
    <w:p w14:paraId="0D333F90">
      <w:pPr>
        <w:pStyle w:val="11"/>
        <w:pageBreakBefore w:val="0"/>
        <w:kinsoku/>
        <w:wordWrap/>
        <w:overflowPunct/>
        <w:topLinePunct w:val="0"/>
        <w:bidi w:val="0"/>
        <w:snapToGrid/>
        <w:spacing w:line="560" w:lineRule="atLeast"/>
        <w:rPr>
          <w:rFonts w:hint="default" w:ascii="Times New Roman" w:hAnsi="Times New Roman" w:cs="Times New Roman"/>
        </w:rPr>
      </w:pPr>
    </w:p>
    <w:p w14:paraId="10C7870E">
      <w:pPr>
        <w:pageBreakBefore w:val="0"/>
        <w:kinsoku/>
        <w:wordWrap/>
        <w:overflowPunct/>
        <w:topLinePunct w:val="0"/>
        <w:bidi w:val="0"/>
        <w:snapToGrid/>
        <w:spacing w:line="560" w:lineRule="atLeast"/>
        <w:rPr>
          <w:rFonts w:hint="default" w:ascii="Times New Roman" w:hAnsi="Times New Roman" w:eastAsia="仿宋_GB2312" w:cs="Times New Roman"/>
          <w:kern w:val="0"/>
          <w:sz w:val="30"/>
          <w:szCs w:val="30"/>
        </w:rPr>
      </w:pPr>
      <w:bookmarkStart w:id="3" w:name="_GoBack"/>
      <w:bookmarkEnd w:id="3"/>
    </w:p>
    <w:p w14:paraId="0EC744E1">
      <w:pPr>
        <w:pageBreakBefore w:val="0"/>
        <w:kinsoku/>
        <w:wordWrap/>
        <w:overflowPunct/>
        <w:topLinePunct w:val="0"/>
        <w:bidi w:val="0"/>
        <w:snapToGrid/>
        <w:spacing w:line="560" w:lineRule="atLeas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应急救护培训基地</w:t>
      </w:r>
    </w:p>
    <w:p w14:paraId="535E8FF9">
      <w:pPr>
        <w:pageBreakBefore w:val="0"/>
        <w:kinsoku/>
        <w:wordWrap/>
        <w:overflowPunct/>
        <w:topLinePunct w:val="0"/>
        <w:bidi w:val="0"/>
        <w:snapToGrid/>
        <w:spacing w:line="560" w:lineRule="atLeas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克拉玛依市红十字会</w:t>
      </w:r>
    </w:p>
    <w:p w14:paraId="5D474E21">
      <w:pPr>
        <w:pageBreakBefore w:val="0"/>
        <w:kinsoku/>
        <w:wordWrap/>
        <w:overflowPunct/>
        <w:topLinePunct w:val="0"/>
        <w:bidi w:val="0"/>
        <w:snapToGrid/>
        <w:spacing w:line="560" w:lineRule="atLeas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克拉玛依市红十字会</w:t>
      </w:r>
    </w:p>
    <w:p w14:paraId="6AA6DEC5">
      <w:pPr>
        <w:pageBreakBefore w:val="0"/>
        <w:kinsoku/>
        <w:wordWrap/>
        <w:overflowPunct/>
        <w:topLinePunct w:val="0"/>
        <w:bidi w:val="0"/>
        <w:snapToGrid/>
        <w:spacing w:line="560" w:lineRule="atLeas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王湘</w:t>
      </w:r>
    </w:p>
    <w:p w14:paraId="5AF2DB77">
      <w:pPr>
        <w:pageBreakBefore w:val="0"/>
        <w:kinsoku/>
        <w:wordWrap/>
        <w:overflowPunct/>
        <w:topLinePunct w:val="0"/>
        <w:bidi w:val="0"/>
        <w:snapToGrid/>
        <w:spacing w:line="560" w:lineRule="atLeas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2024</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12</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31</w:t>
      </w:r>
      <w:r>
        <w:rPr>
          <w:rFonts w:hint="default" w:ascii="Times New Roman" w:hAnsi="Times New Roman" w:eastAsia="仿宋_GB2312" w:cs="Times New Roman"/>
          <w:kern w:val="0"/>
          <w:sz w:val="36"/>
          <w:szCs w:val="36"/>
        </w:rPr>
        <w:t>日</w:t>
      </w:r>
    </w:p>
    <w:p w14:paraId="0B308C7C">
      <w:pPr>
        <w:pageBreakBefore w:val="0"/>
        <w:kinsoku/>
        <w:wordWrap/>
        <w:overflowPunct/>
        <w:topLinePunct w:val="0"/>
        <w:bidi w:val="0"/>
        <w:snapToGrid/>
        <w:spacing w:line="560" w:lineRule="atLeast"/>
        <w:rPr>
          <w:rFonts w:hint="default" w:ascii="Times New Roman" w:hAnsi="Times New Roman" w:eastAsia="黑体" w:cs="Times New Roman"/>
          <w:bCs/>
          <w:sz w:val="32"/>
          <w:szCs w:val="32"/>
        </w:rPr>
        <w:sectPr>
          <w:pgSz w:w="11906" w:h="16838"/>
          <w:pgMar w:top="2098" w:right="1474" w:bottom="1984" w:left="1474" w:header="851" w:footer="992" w:gutter="0"/>
          <w:cols w:space="0" w:num="1"/>
          <w:rtlGutter w:val="0"/>
          <w:docGrid w:type="lines" w:linePitch="312" w:charSpace="0"/>
        </w:sectPr>
      </w:pPr>
    </w:p>
    <w:p w14:paraId="68351E6E">
      <w:pPr>
        <w:pageBreakBefore w:val="0"/>
        <w:kinsoku/>
        <w:wordWrap/>
        <w:overflowPunct/>
        <w:topLinePunct w:val="0"/>
        <w:bidi w:val="0"/>
        <w:snapToGrid/>
        <w:spacing w:line="560" w:lineRule="atLeas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164914E0">
      <w:pPr>
        <w:pageBreakBefore w:val="0"/>
        <w:kinsoku/>
        <w:wordWrap/>
        <w:overflowPunct/>
        <w:topLinePunct w:val="0"/>
        <w:bidi w:val="0"/>
        <w:snapToGrid/>
        <w:spacing w:line="560" w:lineRule="atLeas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66845584">
      <w:pPr>
        <w:pageBreakBefore w:val="0"/>
        <w:kinsoku/>
        <w:wordWrap/>
        <w:overflowPunct/>
        <w:topLinePunct w:val="0"/>
        <w:bidi w:val="0"/>
        <w:snapToGrid/>
        <w:spacing w:line="560" w:lineRule="atLeas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45C8BF1B">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atLeast"/>
        <w:ind w:firstLine="640" w:firstLineChars="200"/>
        <w:jc w:val="left"/>
        <w:textAlignment w:val="auto"/>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根据《中国红十字会总会关于进一步推进红十字应急救护工作的指导意见》工作要求，市红十字会积极推进标准化、示范性应急救护培训基地建设，与克拉玛依市职业技术学院、开放大学共建红十字培训基地，大力加强师资力量培训，制定相关志愿服务保障办法，调动志愿者积极性，扎实开展应急救护进社区、进农村、进企业、进学校、进机关、进警营等“七进”工作，通过应急救护知识普及和培训，广大群众增强了防范意外伤害的能力，提高了自救互救能力，全年开展应急救护培训318场次，培训救护员5821人，</w:t>
      </w: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应急</w:t>
      </w: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救护普及38327人次，新增救护师资55人。</w:t>
      </w:r>
    </w:p>
    <w:p w14:paraId="7C06A1FF">
      <w:pPr>
        <w:pStyle w:val="11"/>
        <w:pageBreakBefore w:val="0"/>
        <w:numPr>
          <w:ilvl w:val="0"/>
          <w:numId w:val="0"/>
        </w:numPr>
        <w:kinsoku/>
        <w:wordWrap/>
        <w:overflowPunct/>
        <w:topLinePunct w:val="0"/>
        <w:bidi w:val="0"/>
        <w:snapToGrid/>
        <w:spacing w:before="0" w:after="0" w:line="560" w:lineRule="atLeas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5625497D">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atLeast"/>
        <w:ind w:firstLine="640" w:firstLineChars="200"/>
        <w:jc w:val="left"/>
        <w:textAlignment w:val="auto"/>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项目主要内容：</w:t>
      </w: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购买应急救护培训教学教具，支付培训教师劳动报酬。</w:t>
      </w:r>
    </w:p>
    <w:p w14:paraId="38636681">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atLeast"/>
        <w:ind w:firstLine="640" w:firstLineChars="200"/>
        <w:jc w:val="left"/>
        <w:textAlignment w:val="auto"/>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项目实施情况：</w:t>
      </w: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购买价值4万元的教学教具，支付培训教师劳动报酬6万元。</w:t>
      </w:r>
    </w:p>
    <w:p w14:paraId="1FE10AAB">
      <w:pPr>
        <w:pageBreakBefore w:val="0"/>
        <w:kinsoku/>
        <w:wordWrap/>
        <w:overflowPunct/>
        <w:topLinePunct w:val="0"/>
        <w:bidi w:val="0"/>
        <w:snapToGrid/>
        <w:spacing w:line="560" w:lineRule="atLeas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16B2C611">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5BEE9827">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atLeast"/>
        <w:ind w:firstLine="640" w:firstLineChars="200"/>
        <w:jc w:val="left"/>
        <w:textAlignment w:val="auto"/>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该项目年初预算数</w:t>
      </w: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10</w:t>
      </w: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万元，全年预算数</w:t>
      </w: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10</w:t>
      </w: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万元，该项目资金已全部落实到位，资金来源为</w:t>
      </w: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财政拨款</w:t>
      </w: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w:t>
      </w:r>
    </w:p>
    <w:p w14:paraId="569C4464">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5572FBAE">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应急救护培训基地教学教具购置支出、培训费支出。</w:t>
      </w:r>
    </w:p>
    <w:p w14:paraId="0CDF3678">
      <w:pPr>
        <w:pageBreakBefore w:val="0"/>
        <w:kinsoku/>
        <w:wordWrap/>
        <w:overflowPunct/>
        <w:topLinePunct w:val="0"/>
        <w:bidi w:val="0"/>
        <w:snapToGrid/>
        <w:spacing w:line="560" w:lineRule="atLeas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4884606D">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646C84CB">
      <w:pPr>
        <w:pageBreakBefore w:val="0"/>
        <w:kinsoku/>
        <w:wordWrap/>
        <w:overflowPunct/>
        <w:topLinePunct w:val="0"/>
        <w:bidi w:val="0"/>
        <w:snapToGrid/>
        <w:spacing w:line="560" w:lineRule="atLeast"/>
        <w:ind w:firstLine="640" w:firstLineChars="200"/>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根据《关于印发自治区红十字会2023年工作要点》的通知（新红办【2023】1号）要求，推动应急救护培训进校园项目成果化，建立应急救护培训基地，常态化标准化开展应急救护培训工作，提高全市救护员取证率。</w:t>
      </w:r>
    </w:p>
    <w:p w14:paraId="3EDAEAB6">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509C3428">
      <w:pPr>
        <w:pageBreakBefore w:val="0"/>
        <w:kinsoku/>
        <w:wordWrap/>
        <w:overflowPunct/>
        <w:topLinePunct w:val="0"/>
        <w:bidi w:val="0"/>
        <w:snapToGrid/>
        <w:spacing w:line="560" w:lineRule="atLeast"/>
        <w:ind w:firstLine="640" w:firstLineChars="200"/>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一是积极推进应急救护培训基地建设，与克拉玛依市职业技术学院、开放大学合作共建，签订合作协议，制定相关志愿服务保障办法，确保应急救护培训基地管理规范化、服务常态化。</w:t>
      </w:r>
    </w:p>
    <w:p w14:paraId="748DE8B2">
      <w:pPr>
        <w:pageBreakBefore w:val="0"/>
        <w:kinsoku/>
        <w:wordWrap/>
        <w:overflowPunct/>
        <w:topLinePunct w:val="0"/>
        <w:bidi w:val="0"/>
        <w:snapToGrid/>
        <w:spacing w:line="560" w:lineRule="atLeast"/>
        <w:ind w:firstLine="640" w:firstLineChars="200"/>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eastAsia"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 xml:space="preserve"> 二是扎实推动应急救护“七进”行动，倡导“人人学急救、急救为人人”社会风尚，普及应急救护知识，增强群众自救互救意识和技能，弘扬志愿服务精神，提高群众性应急救护能力和水平。</w:t>
      </w:r>
    </w:p>
    <w:p w14:paraId="7BBC646A">
      <w:pPr>
        <w:pageBreakBefore w:val="0"/>
        <w:kinsoku/>
        <w:wordWrap/>
        <w:overflowPunct/>
        <w:topLinePunct w:val="0"/>
        <w:bidi w:val="0"/>
        <w:snapToGrid/>
        <w:spacing w:line="560" w:lineRule="atLeas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7C5F9A90">
      <w:pPr>
        <w:pageBreakBefore w:val="0"/>
        <w:kinsoku/>
        <w:wordWrap/>
        <w:overflowPunct/>
        <w:topLinePunct w:val="0"/>
        <w:bidi w:val="0"/>
        <w:snapToGrid/>
        <w:spacing w:line="560" w:lineRule="atLeas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64C94176">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59F2C3D7">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EFD0A0D">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在评价指标体系的构建上，充分考虑了项目的性质、目标以及预期成果，选取了具有代表性和可衡量性的关键指标，社会效益维度，力求全方位反映项目的绩效状况。同时，对于指标的评价标准和数据来源均进行了明确说明，确保评价结果的客观性和可追溯性。</w:t>
      </w:r>
    </w:p>
    <w:p w14:paraId="158549AA">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402BE31">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0473735">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pPr>
      <w:r>
        <w:rPr>
          <w:rFonts w:hint="default" w:ascii="Times New Roman" w:hAnsi="Times New Roman" w:eastAsia="仿宋_GB2312" w:cs="Times New Roman"/>
          <w:b w:val="0"/>
          <w:bCs w:val="0"/>
          <w:i w:val="0"/>
          <w:iCs w:val="0"/>
          <w:caps w:val="0"/>
          <w:color w:val="000000"/>
          <w:spacing w:val="0"/>
          <w:kern w:val="0"/>
          <w:sz w:val="32"/>
          <w:szCs w:val="32"/>
          <w:shd w:val="clear" w:color="auto" w:fill="FFFFFF"/>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4FC905C">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64CDB8D3">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79220DA5">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通过对项目预算执行情况及各项绩效目标达成程度的系统性分析，全面、客观地评估项目在预定周期内的实施效果，社会效益指标，为项目后续的改进与优化提供科学依据。</w:t>
      </w:r>
    </w:p>
    <w:p w14:paraId="0E513443">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7F7E37A">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140E5B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262AAB5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B54445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）促进项目持续改进</w:t>
      </w:r>
    </w:p>
    <w:p w14:paraId="61C1AC75">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CFE1979">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A29781C">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33AB37B0">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eastAsia="zh-CN"/>
        </w:rPr>
        <w:t>应急救护培训基地</w:t>
      </w:r>
      <w:r>
        <w:rPr>
          <w:rFonts w:hint="default" w:ascii="Times New Roman" w:hAnsi="Times New Roman" w:eastAsia="仿宋_GB2312" w:cs="Times New Roman"/>
          <w:b w:val="0"/>
          <w:bCs w:val="0"/>
          <w:highlight w:val="none"/>
        </w:rPr>
        <w:t>及其预算执行情</w:t>
      </w:r>
      <w:r>
        <w:rPr>
          <w:rFonts w:hint="default" w:ascii="Times New Roman" w:hAnsi="Times New Roman" w:eastAsia="仿宋_GB2312" w:cs="Times New Roman"/>
          <w:b w:val="0"/>
          <w:bCs w:val="0"/>
          <w:highlight w:val="none"/>
          <w:lang w:eastAsia="zh-CN"/>
        </w:rPr>
        <w:t>况。该项目由</w:t>
      </w:r>
      <w:r>
        <w:rPr>
          <w:rFonts w:hint="eastAsia" w:ascii="Times New Roman" w:hAnsi="Times New Roman" w:eastAsia="仿宋_GB2312" w:cs="Times New Roman"/>
          <w:b w:val="0"/>
          <w:bCs w:val="0"/>
          <w:highlight w:val="none"/>
          <w:lang w:eastAsia="zh-CN"/>
        </w:rPr>
        <w:t>业务科</w:t>
      </w:r>
      <w:r>
        <w:rPr>
          <w:rFonts w:hint="default" w:ascii="Times New Roman" w:hAnsi="Times New Roman" w:eastAsia="仿宋_GB2312" w:cs="Times New Roman"/>
          <w:b w:val="0"/>
          <w:bCs w:val="0"/>
          <w:highlight w:val="none"/>
          <w:lang w:eastAsia="zh-CN"/>
        </w:rPr>
        <w:t>负责实施，旨在</w:t>
      </w:r>
      <w:r>
        <w:rPr>
          <w:rFonts w:hint="eastAsia" w:ascii="Times New Roman" w:hAnsi="Times New Roman" w:eastAsia="仿宋_GB2312" w:cs="Times New Roman"/>
          <w:b w:val="0"/>
          <w:bCs w:val="0"/>
          <w:highlight w:val="none"/>
          <w:lang w:val="en-US" w:eastAsia="zh-CN"/>
        </w:rPr>
        <w:t>发展应急救护培训基地数量，开展培训活动，达到建立应急救护培训基地、常态化开展应急救护培训的目标.</w:t>
      </w:r>
      <w:r>
        <w:rPr>
          <w:rFonts w:hint="default" w:ascii="Times New Roman" w:hAnsi="Times New Roman" w:eastAsia="仿宋_GB2312" w:cs="Times New Roman"/>
          <w:b w:val="0"/>
          <w:bCs w:val="0"/>
          <w:highlight w:val="none"/>
          <w:lang w:eastAsia="zh-CN"/>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lang w:eastAsia="zh-CN"/>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lang w:eastAsia="zh-CN"/>
        </w:rPr>
        <w:t>的全部资</w:t>
      </w:r>
      <w:r>
        <w:rPr>
          <w:rFonts w:hint="default" w:ascii="Times New Roman" w:hAnsi="Times New Roman" w:eastAsia="仿宋_GB2312" w:cs="Times New Roman"/>
          <w:b w:val="0"/>
          <w:bCs w:val="0"/>
          <w:highlight w:val="none"/>
        </w:rPr>
        <w:t>金投入与支出，涉及资金总额为</w:t>
      </w:r>
      <w:r>
        <w:rPr>
          <w:rFonts w:hint="eastAsia" w:ascii="Times New Roman" w:hAnsi="Times New Roman" w:eastAsia="仿宋_GB2312" w:cs="Times New Roman"/>
          <w:b w:val="0"/>
          <w:bCs w:val="0"/>
          <w:highlight w:val="none"/>
          <w:lang w:val="en-US" w:eastAsia="zh-CN"/>
        </w:rPr>
        <w:t>10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5695C062">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303F80C3">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F919441">
      <w:pPr>
        <w:pStyle w:val="11"/>
        <w:pageBreakBefore w:val="0"/>
        <w:widowControl w:val="0"/>
        <w:numPr>
          <w:ilvl w:val="0"/>
          <w:numId w:val="1"/>
        </w:numPr>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AB93A43">
      <w:pPr>
        <w:pStyle w:val="11"/>
        <w:pageBreakBefore w:val="0"/>
        <w:widowControl w:val="0"/>
        <w:numPr>
          <w:ilvl w:val="0"/>
          <w:numId w:val="1"/>
        </w:numPr>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01182D06">
      <w:pPr>
        <w:pStyle w:val="11"/>
        <w:pageBreakBefore w:val="0"/>
        <w:widowControl w:val="0"/>
        <w:numPr>
          <w:ilvl w:val="0"/>
          <w:numId w:val="1"/>
        </w:numPr>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AB2CA3F">
      <w:pPr>
        <w:pStyle w:val="11"/>
        <w:pageBreakBefore w:val="0"/>
        <w:widowControl w:val="0"/>
        <w:numPr>
          <w:ilvl w:val="0"/>
          <w:numId w:val="0"/>
        </w:numPr>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社会影响：考察项目对方面的影响。</w:t>
      </w:r>
    </w:p>
    <w:p w14:paraId="63B2ADAA">
      <w:pPr>
        <w:pageBreakBefore w:val="0"/>
        <w:kinsoku/>
        <w:wordWrap/>
        <w:overflowPunct/>
        <w:topLinePunct w:val="0"/>
        <w:bidi w:val="0"/>
        <w:snapToGrid/>
        <w:spacing w:line="560" w:lineRule="atLeas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37466BC8">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0DA543F5">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7115E15C">
      <w:pPr>
        <w:pStyle w:val="11"/>
        <w:pageBreakBefore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2393BAB3">
      <w:pPr>
        <w:pStyle w:val="11"/>
        <w:pageBreakBefore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57F0001">
      <w:pPr>
        <w:pStyle w:val="11"/>
        <w:pageBreakBefore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603922C">
      <w:pPr>
        <w:pStyle w:val="11"/>
        <w:pageBreakBefore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2A46157E">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04BB7571">
      <w:pPr>
        <w:pageBreakBefore w:val="0"/>
        <w:kinsoku/>
        <w:wordWrap/>
        <w:overflowPunct/>
        <w:topLinePunct w:val="0"/>
        <w:bidi w:val="0"/>
        <w:snapToGrid/>
        <w:spacing w:line="560" w:lineRule="atLeas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7F50CAB5">
      <w:pPr>
        <w:pageBreakBefore w:val="0"/>
        <w:kinsoku/>
        <w:wordWrap/>
        <w:overflowPunct/>
        <w:topLinePunct w:val="0"/>
        <w:bidi w:val="0"/>
        <w:snapToGrid/>
        <w:spacing w:line="560" w:lineRule="atLeas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5AE4C812">
      <w:pPr>
        <w:pageBreakBefore w:val="0"/>
        <w:kinsoku/>
        <w:wordWrap/>
        <w:overflowPunct/>
        <w:topLinePunct w:val="0"/>
        <w:bidi w:val="0"/>
        <w:snapToGrid/>
        <w:spacing w:line="560" w:lineRule="atLeas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9CEB150">
      <w:pPr>
        <w:pageBreakBefore w:val="0"/>
        <w:kinsoku/>
        <w:wordWrap/>
        <w:overflowPunct/>
        <w:topLinePunct w:val="0"/>
        <w:bidi w:val="0"/>
        <w:snapToGrid/>
        <w:spacing w:line="560" w:lineRule="atLeas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2F672C7E">
      <w:pPr>
        <w:pageBreakBefore w:val="0"/>
        <w:kinsoku/>
        <w:wordWrap/>
        <w:overflowPunct/>
        <w:topLinePunct w:val="0"/>
        <w:bidi w:val="0"/>
        <w:snapToGrid/>
        <w:spacing w:line="560" w:lineRule="atLeas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BED4934">
      <w:pPr>
        <w:pageBreakBefore w:val="0"/>
        <w:kinsoku/>
        <w:wordWrap/>
        <w:overflowPunct/>
        <w:topLinePunct w:val="0"/>
        <w:bidi w:val="0"/>
        <w:snapToGrid/>
        <w:spacing w:line="560" w:lineRule="atLeas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032579FF">
      <w:pPr>
        <w:pageBreakBefore w:val="0"/>
        <w:kinsoku/>
        <w:wordWrap/>
        <w:overflowPunct/>
        <w:topLinePunct w:val="0"/>
        <w:bidi w:val="0"/>
        <w:snapToGrid/>
        <w:spacing w:line="560" w:lineRule="atLeas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2CC4CE23">
      <w:pPr>
        <w:pStyle w:val="11"/>
        <w:pageBreakBefore w:val="0"/>
        <w:kinsoku/>
        <w:wordWrap/>
        <w:overflowPunct/>
        <w:topLinePunct w:val="0"/>
        <w:bidi w:val="0"/>
        <w:snapToGrid/>
        <w:spacing w:before="0" w:after="0" w:line="560" w:lineRule="atLeas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6E9C8433">
      <w:pPr>
        <w:pStyle w:val="11"/>
        <w:pageBreakBefore w:val="0"/>
        <w:widowControl w:val="0"/>
        <w:kinsoku/>
        <w:wordWrap/>
        <w:overflowPunct/>
        <w:topLinePunct w:val="0"/>
        <w:bidi w:val="0"/>
        <w:snapToGrid/>
        <w:spacing w:before="0" w:after="0" w:line="560" w:lineRule="atLeas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715A0CAC">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639518CF">
      <w:pPr>
        <w:pageBreakBefore w:val="0"/>
        <w:kinsoku/>
        <w:wordWrap/>
        <w:overflowPunct/>
        <w:topLinePunct w:val="0"/>
        <w:bidi w:val="0"/>
        <w:snapToGrid/>
        <w:spacing w:line="560" w:lineRule="atLeas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47A25424">
      <w:pPr>
        <w:pageBreakBefore w:val="0"/>
        <w:kinsoku/>
        <w:wordWrap/>
        <w:overflowPunct/>
        <w:topLinePunct w:val="0"/>
        <w:bidi w:val="0"/>
        <w:snapToGrid/>
        <w:spacing w:line="560" w:lineRule="atLeas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BC79B20">
      <w:pPr>
        <w:pageBreakBefore w:val="0"/>
        <w:kinsoku/>
        <w:wordWrap/>
        <w:overflowPunct/>
        <w:topLinePunct w:val="0"/>
        <w:bidi w:val="0"/>
        <w:snapToGrid/>
        <w:spacing w:line="560" w:lineRule="atLeas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28510943">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174427E2">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default" w:ascii="Times New Roman" w:hAnsi="Times New Roman" w:eastAsia="仿宋_GB2312" w:cs="Times New Roman"/>
          <w:b w:val="0"/>
          <w:bCs w:val="0"/>
        </w:rPr>
        <w:t>。</w:t>
      </w:r>
    </w:p>
    <w:p w14:paraId="3C32E727">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计划标准。指以预先制定的目标、计划、预算、定额等作为评价标准。</w:t>
      </w:r>
    </w:p>
    <w:p w14:paraId="3D1B7D0A">
      <w:pPr>
        <w:pStyle w:val="11"/>
        <w:pageBreakBefore w:val="0"/>
        <w:numPr>
          <w:ilvl w:val="0"/>
          <w:numId w:val="2"/>
        </w:numPr>
        <w:kinsoku/>
        <w:wordWrap/>
        <w:overflowPunct/>
        <w:topLinePunct w:val="0"/>
        <w:bidi w:val="0"/>
        <w:snapToGrid/>
        <w:spacing w:before="0" w:after="0" w:line="560" w:lineRule="atLeas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16864CD8">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5A184FEB">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w:t>
      </w:r>
      <w:r>
        <w:rPr>
          <w:rFonts w:hint="eastAsia" w:eastAsia="仿宋_GB2312" w:cs="Times New Roman"/>
          <w:sz w:val="32"/>
          <w:szCs w:val="32"/>
          <w:highlight w:val="none"/>
          <w:lang w:eastAsia="zh-CN"/>
        </w:rPr>
        <w:t>财务人员、项目执行人员及分管领导</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1DC8234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0D30239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3B80AACC">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2A6B8FC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49B7BC7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350E6CEB">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95A4D55">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F46586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0F886D3">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33BF121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832AEB4">
      <w:pPr>
        <w:pageBreakBefore w:val="0"/>
        <w:numPr>
          <w:ilvl w:val="0"/>
          <w:numId w:val="3"/>
        </w:numPr>
        <w:kinsoku/>
        <w:wordWrap/>
        <w:overflowPunct/>
        <w:topLinePunct w:val="0"/>
        <w:bidi w:val="0"/>
        <w:snapToGrid/>
        <w:spacing w:line="560" w:lineRule="atLeas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7E5BE91E">
      <w:pPr>
        <w:pStyle w:val="11"/>
        <w:keepNext w:val="0"/>
        <w:keepLines w:val="0"/>
        <w:pageBreakBefore w:val="0"/>
        <w:widowControl/>
        <w:kinsoku/>
        <w:wordWrap/>
        <w:overflowPunct/>
        <w:topLinePunct w:val="0"/>
        <w:autoSpaceDE/>
        <w:autoSpaceDN/>
        <w:bidi w:val="0"/>
        <w:adjustRightInd/>
        <w:snapToGrid/>
        <w:spacing w:before="0" w:after="0" w:line="560" w:lineRule="atLeas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6A92D9A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eastAsia="zh-CN"/>
        </w:rPr>
        <w:t>应急救护培训基地</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eastAsia="zh-CN"/>
        </w:rPr>
        <w:t>救护员取证人数</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应急救护培训基地数量</w:t>
      </w:r>
      <w:r>
        <w:rPr>
          <w:rFonts w:hint="default" w:ascii="Times New Roman" w:hAnsi="Times New Roman" w:eastAsia="仿宋_GB2312" w:cs="Times New Roman"/>
          <w:sz w:val="32"/>
          <w:szCs w:val="32"/>
          <w:highlight w:val="none"/>
        </w:rPr>
        <w:t>等方面表现出色，达到了预期的标准与要求。</w:t>
      </w:r>
    </w:p>
    <w:p w14:paraId="5A2CD8C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克拉玛依市红十字会</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154F49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从项目效益的角度来看，本项目实现了预期的社会效益。具体而言，</w:t>
      </w:r>
      <w:r>
        <w:rPr>
          <w:rFonts w:hint="eastAsia" w:ascii="Times New Roman" w:hAnsi="Times New Roman" w:eastAsia="仿宋_GB2312" w:cs="Times New Roman"/>
          <w:sz w:val="32"/>
          <w:szCs w:val="32"/>
          <w:highlight w:val="none"/>
          <w:lang w:eastAsia="zh-CN"/>
        </w:rPr>
        <w:t>救护员取证率</w:t>
      </w:r>
      <w:r>
        <w:rPr>
          <w:rFonts w:hint="default" w:ascii="Times New Roman" w:hAnsi="Times New Roman" w:eastAsia="仿宋_GB2312" w:cs="Times New Roman"/>
          <w:sz w:val="32"/>
          <w:szCs w:val="32"/>
          <w:highlight w:val="none"/>
        </w:rPr>
        <w:t>方面的提升，为项目的利益相关者带来了实实在在的利益。</w:t>
      </w:r>
    </w:p>
    <w:p w14:paraId="7FBE2EF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eastAsia="zh-CN"/>
        </w:rPr>
        <w:t>应急救护培训</w:t>
      </w:r>
      <w:r>
        <w:rPr>
          <w:rFonts w:hint="eastAsia" w:eastAsia="仿宋_GB2312" w:cs="Times New Roman"/>
          <w:sz w:val="32"/>
          <w:szCs w:val="32"/>
          <w:highlight w:val="none"/>
          <w:lang w:eastAsia="zh-CN"/>
        </w:rPr>
        <w:t>基地</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3743E897">
      <w:pPr>
        <w:pStyle w:val="11"/>
        <w:keepNext w:val="0"/>
        <w:keepLines w:val="0"/>
        <w:pageBreakBefore w:val="0"/>
        <w:widowControl/>
        <w:kinsoku/>
        <w:wordWrap/>
        <w:overflowPunct/>
        <w:topLinePunct w:val="0"/>
        <w:autoSpaceDE/>
        <w:autoSpaceDN/>
        <w:bidi w:val="0"/>
        <w:adjustRightInd/>
        <w:snapToGrid/>
        <w:spacing w:before="0" w:after="0" w:line="560" w:lineRule="atLeas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21D1CAA3">
      <w:pPr>
        <w:pStyle w:val="11"/>
        <w:pageBreakBefore w:val="0"/>
        <w:widowControl w:val="0"/>
        <w:kinsoku/>
        <w:wordWrap/>
        <w:overflowPunct/>
        <w:topLinePunct w:val="0"/>
        <w:bidi w:val="0"/>
        <w:snapToGrid/>
        <w:spacing w:before="0" w:after="0" w:line="560" w:lineRule="atLeas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分，属于“优”。其中，项目决策类指标权重为20分，得分为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40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5954B758">
      <w:pPr>
        <w:pStyle w:val="11"/>
        <w:keepNext w:val="0"/>
        <w:keepLines w:val="0"/>
        <w:pageBreakBefore w:val="0"/>
        <w:widowControl/>
        <w:kinsoku/>
        <w:wordWrap/>
        <w:overflowPunct/>
        <w:topLinePunct w:val="0"/>
        <w:autoSpaceDE/>
        <w:autoSpaceDN/>
        <w:bidi w:val="0"/>
        <w:adjustRightInd/>
        <w:snapToGrid/>
        <w:spacing w:before="0" w:after="0" w:line="560" w:lineRule="atLeast"/>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23614237">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6B8EDC45">
            <w:pPr>
              <w:pageBreakBefore w:val="0"/>
              <w:kinsoku/>
              <w:wordWrap/>
              <w:overflowPunct/>
              <w:topLinePunct w:val="0"/>
              <w:bidi w:val="0"/>
              <w:snapToGrid/>
              <w:spacing w:line="560" w:lineRule="atLeast"/>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27B69590">
            <w:pPr>
              <w:pageBreakBefore w:val="0"/>
              <w:kinsoku/>
              <w:wordWrap/>
              <w:overflowPunct/>
              <w:topLinePunct w:val="0"/>
              <w:bidi w:val="0"/>
              <w:snapToGrid/>
              <w:spacing w:line="560" w:lineRule="atLeast"/>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1AFE49CD">
            <w:pPr>
              <w:pageBreakBefore w:val="0"/>
              <w:kinsoku/>
              <w:wordWrap/>
              <w:overflowPunct/>
              <w:topLinePunct w:val="0"/>
              <w:bidi w:val="0"/>
              <w:snapToGrid/>
              <w:spacing w:line="560" w:lineRule="atLeast"/>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7EA37DD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56794AC">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15A0D49D">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195DF82">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2677A6F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EC30539">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3F477782">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FF0DF44">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A984B5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37D0D32">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272C8FAC">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5AC0B608">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43A76FF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6FA9C8C">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2378D22D">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3F0497A">
            <w:pPr>
              <w:pageBreakBefore w:val="0"/>
              <w:kinsoku/>
              <w:wordWrap/>
              <w:overflowPunct/>
              <w:topLinePunct w:val="0"/>
              <w:bidi w:val="0"/>
              <w:snapToGrid/>
              <w:spacing w:line="560" w:lineRule="atLeast"/>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72BD3AD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791817E">
            <w:pPr>
              <w:pageBreakBefore w:val="0"/>
              <w:kinsoku/>
              <w:wordWrap/>
              <w:overflowPunct/>
              <w:topLinePunct w:val="0"/>
              <w:bidi w:val="0"/>
              <w:snapToGrid/>
              <w:spacing w:line="560" w:lineRule="atLeast"/>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3E59C5A5">
            <w:pPr>
              <w:pageBreakBefore w:val="0"/>
              <w:kinsoku/>
              <w:wordWrap/>
              <w:overflowPunct/>
              <w:topLinePunct w:val="0"/>
              <w:bidi w:val="0"/>
              <w:snapToGrid/>
              <w:spacing w:line="560" w:lineRule="atLeast"/>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1EF5872">
            <w:pPr>
              <w:pageBreakBefore w:val="0"/>
              <w:kinsoku/>
              <w:wordWrap/>
              <w:overflowPunct/>
              <w:topLinePunct w:val="0"/>
              <w:bidi w:val="0"/>
              <w:snapToGrid/>
              <w:spacing w:line="560" w:lineRule="atLeast"/>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6FC09157">
      <w:pPr>
        <w:pageBreakBefore w:val="0"/>
        <w:kinsoku/>
        <w:wordWrap/>
        <w:overflowPunct/>
        <w:topLinePunct w:val="0"/>
        <w:bidi w:val="0"/>
        <w:snapToGrid/>
        <w:spacing w:line="560" w:lineRule="atLeas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66F56B8D">
      <w:pPr>
        <w:pStyle w:val="11"/>
        <w:pageBreakBefore w:val="0"/>
        <w:kinsoku/>
        <w:wordWrap/>
        <w:overflowPunct/>
        <w:topLinePunct w:val="0"/>
        <w:bidi w:val="0"/>
        <w:snapToGrid/>
        <w:spacing w:before="0" w:after="0" w:line="560" w:lineRule="atLeas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0B2BB2FC">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5ABA8C8">
      <w:pPr>
        <w:pStyle w:val="22"/>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6F6ABB32">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8D53FFE">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C5854A2">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321564A0">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根据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7EBCBBC">
      <w:pPr>
        <w:pStyle w:val="22"/>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CAC7C23">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711E2280">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EECAA98">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0349C6E2">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065F8BFD">
      <w:pPr>
        <w:pStyle w:val="22"/>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4B8F28B">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67F25600">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4D0CC85">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E2FF063">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12C882AD">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76410C0">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1AE30EA">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CBFA3F6">
      <w:pPr>
        <w:pStyle w:val="11"/>
        <w:pageBreakBefore w:val="0"/>
        <w:numPr>
          <w:ilvl w:val="0"/>
          <w:numId w:val="4"/>
        </w:numPr>
        <w:kinsoku/>
        <w:wordWrap/>
        <w:overflowPunct/>
        <w:topLinePunct w:val="0"/>
        <w:bidi w:val="0"/>
        <w:snapToGrid/>
        <w:spacing w:before="0" w:after="0" w:line="560" w:lineRule="atLeas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0FC04343">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42AE434F">
      <w:pPr>
        <w:pStyle w:val="22"/>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4CA21AA8">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0F0A5769">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4F220448">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51B2F0D1">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395E4D90">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1394B34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ascii="仿宋_GB2312" w:hAnsi="宋体" w:eastAsia="仿宋_GB2312" w:cs="Times New Roman"/>
          <w:bCs/>
          <w:sz w:val="32"/>
          <w:szCs w:val="32"/>
          <w:lang w:val="en-US" w:eastAsia="zh-CN"/>
        </w:rPr>
        <w:t>《克拉玛依市红十字会内部控制制度》《克拉玛依市红十字会资金使用管理制度》</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14:paraId="668289EE">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93BB669">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8A875CB">
      <w:pPr>
        <w:pStyle w:val="22"/>
        <w:keepNext w:val="0"/>
        <w:keepLines w:val="0"/>
        <w:pageBreakBefore w:val="0"/>
        <w:widowControl w:val="0"/>
        <w:shd w:val="clear" w:color="auto" w:fill="auto"/>
        <w:kinsoku/>
        <w:wordWrap/>
        <w:overflowPunct/>
        <w:topLinePunct w:val="0"/>
        <w:autoSpaceDE/>
        <w:autoSpaceDN/>
        <w:bidi w:val="0"/>
        <w:adjustRightInd/>
        <w:snapToGrid/>
        <w:spacing w:line="560" w:lineRule="atLeas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7291C57F">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05DA7D21">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EA9D9B8">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74308BF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BF23DF2">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654F63C">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19569A6E">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w:t>
      </w:r>
      <w:r>
        <w:rPr>
          <w:rFonts w:hint="eastAsia" w:eastAsia="仿宋_GB2312" w:cs="Times New Roman"/>
          <w:sz w:val="32"/>
          <w:szCs w:val="32"/>
          <w:lang w:eastAsia="zh-CN"/>
        </w:rPr>
        <w:t>市红十字会</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522EA173">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041185FD">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0E11DE6F">
      <w:pPr>
        <w:pStyle w:val="12"/>
        <w:pageBreakBefore w:val="0"/>
        <w:numPr>
          <w:ilvl w:val="0"/>
          <w:numId w:val="4"/>
        </w:numPr>
        <w:kinsoku/>
        <w:wordWrap/>
        <w:overflowPunct/>
        <w:topLinePunct w:val="0"/>
        <w:bidi w:val="0"/>
        <w:snapToGrid/>
        <w:spacing w:line="560" w:lineRule="atLeast"/>
        <w:ind w:firstLine="643"/>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项目产出情况</w:t>
      </w:r>
    </w:p>
    <w:p w14:paraId="59C5563E">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w:t>
      </w:r>
      <w:r>
        <w:rPr>
          <w:rFonts w:hint="eastAsia" w:eastAsia="仿宋_GB2312" w:cs="Times New Roman"/>
          <w:sz w:val="32"/>
          <w:szCs w:val="32"/>
          <w:lang w:val="en-US" w:eastAsia="zh-CN"/>
        </w:rPr>
        <w:t>三</w:t>
      </w:r>
      <w:r>
        <w:rPr>
          <w:rFonts w:hint="default" w:ascii="Times New Roman" w:hAnsi="Times New Roman" w:eastAsia="仿宋_GB2312" w:cs="Times New Roman"/>
          <w:sz w:val="32"/>
          <w:szCs w:val="32"/>
          <w:lang w:val="en-US" w:eastAsia="zh-CN"/>
        </w:rPr>
        <w:t>方面的内容，由</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个三级指标构成，权重分为40分，实际得分</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14:paraId="502EA880">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285AEEC">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：救护员取证人数，指标值：</w:t>
      </w:r>
      <w:r>
        <w:rPr>
          <w:rFonts w:hint="default" w:ascii="Arial" w:hAnsi="Arial" w:eastAsia="仿宋_GB2312" w:cs="Arial"/>
          <w:sz w:val="32"/>
          <w:szCs w:val="32"/>
          <w:highlight w:val="none"/>
        </w:rPr>
        <w:t>≥</w:t>
      </w:r>
      <w:r>
        <w:rPr>
          <w:rFonts w:hint="eastAsia" w:eastAsia="仿宋_GB2312" w:cs="Times New Roman"/>
          <w:sz w:val="32"/>
          <w:szCs w:val="32"/>
          <w:highlight w:val="none"/>
          <w:lang w:val="en-US" w:eastAsia="zh-CN"/>
        </w:rPr>
        <w:t>1000人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=58</w:t>
      </w:r>
      <w:r>
        <w:rPr>
          <w:rFonts w:hint="eastAsia" w:ascii="Times New Roman" w:hAnsi="Times New Roman" w:eastAsia="仿宋_GB2312" w:cs="Times New Roman"/>
          <w:sz w:val="32"/>
          <w:szCs w:val="32"/>
          <w:highlight w:val="none"/>
          <w:lang w:val="en-US" w:eastAsia="zh-CN"/>
        </w:rPr>
        <w:t>21人</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582</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eastAsia="zh-CN"/>
        </w:rPr>
        <w:t>：因</w:t>
      </w:r>
      <w:r>
        <w:rPr>
          <w:rFonts w:hint="default" w:ascii="Times New Roman" w:hAnsi="Times New Roman" w:eastAsia="仿宋_GB2312" w:cs="Times New Roman"/>
          <w:sz w:val="32"/>
          <w:szCs w:val="32"/>
          <w:highlight w:val="none"/>
          <w:lang w:eastAsia="zh-CN"/>
        </w:rPr>
        <w:t>应急救护知识普及广泛，报名取证人数较多，超额完成目标。</w:t>
      </w:r>
    </w:p>
    <w:p w14:paraId="6EFD94BA">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eastAsia="zh-CN"/>
        </w:rPr>
        <w:t>指标</w:t>
      </w:r>
      <w:r>
        <w:rPr>
          <w:rFonts w:hint="eastAsia" w:ascii="Times New Roman" w:hAnsi="Times New Roman" w:eastAsia="仿宋_GB2312" w:cs="Times New Roman"/>
          <w:sz w:val="32"/>
          <w:szCs w:val="32"/>
          <w:highlight w:val="none"/>
          <w:lang w:val="en-US" w:eastAsia="zh-CN"/>
        </w:rPr>
        <w:t>2：应急救护培训基地数量，</w:t>
      </w:r>
      <w:r>
        <w:rPr>
          <w:rFonts w:hint="default" w:ascii="Times New Roman" w:hAnsi="Times New Roman" w:eastAsia="仿宋_GB2312" w:cs="Times New Roman"/>
          <w:sz w:val="32"/>
          <w:szCs w:val="32"/>
          <w:highlight w:val="none"/>
        </w:rPr>
        <w:t>指标值：</w:t>
      </w:r>
      <w:r>
        <w:rPr>
          <w:rFonts w:hint="eastAsia" w:ascii="Times New Roman" w:hAnsi="Times New Roman"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，实际完成值：</w:t>
      </w:r>
      <w:r>
        <w:rPr>
          <w:rFonts w:hint="eastAsia" w:ascii="Times New Roman" w:hAnsi="Times New Roman" w:eastAsia="仿宋_GB2312" w:cs="Times New Roman"/>
          <w:sz w:val="32"/>
          <w:szCs w:val="32"/>
          <w:highlight w:val="none"/>
          <w:lang w:val="en-US" w:eastAsia="zh-CN"/>
        </w:rPr>
        <w:t>=2个</w:t>
      </w:r>
      <w:r>
        <w:rPr>
          <w:rFonts w:hint="default" w:ascii="Times New Roman" w:hAnsi="Times New Roman" w:eastAsia="仿宋_GB2312" w:cs="Times New Roman"/>
          <w:sz w:val="32"/>
          <w:szCs w:val="32"/>
          <w:highlight w:val="none"/>
        </w:rPr>
        <w:t>，指标完成率</w:t>
      </w:r>
      <w:r>
        <w:rPr>
          <w:rFonts w:hint="eastAsia" w:ascii="Times New Roman" w:hAnsi="Times New Roman" w:eastAsia="仿宋_GB2312" w:cs="Times New Roman"/>
          <w:sz w:val="32"/>
          <w:szCs w:val="32"/>
          <w:highlight w:val="none"/>
          <w:lang w:val="en-US" w:eastAsia="zh-CN"/>
        </w:rPr>
        <w:t>200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，偏差原因：为加强师资力量，根据培训任务要求，应急救护培训基地成立2个。</w:t>
      </w:r>
    </w:p>
    <w:p w14:paraId="1E976A09">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r>
        <w:rPr>
          <w:rFonts w:hint="eastAsia" w:ascii="Times New Roman" w:hAnsi="Times New Roman" w:eastAsia="仿宋_GB2312" w:cs="Times New Roman"/>
          <w:i w:val="0"/>
          <w:iCs w:val="0"/>
          <w:kern w:val="2"/>
          <w:sz w:val="32"/>
          <w:szCs w:val="32"/>
          <w:highlight w:val="none"/>
          <w:lang w:val="en-US" w:eastAsia="zh-CN" w:bidi="ar-SA"/>
        </w:rPr>
        <w:t>培训合格率，</w:t>
      </w:r>
      <w:r>
        <w:rPr>
          <w:rFonts w:hint="default" w:ascii="Times New Roman" w:hAnsi="Times New Roman" w:eastAsia="仿宋_GB2312" w:cs="Times New Roman"/>
          <w:i w:val="0"/>
          <w:iCs w:val="0"/>
          <w:kern w:val="2"/>
          <w:sz w:val="32"/>
          <w:szCs w:val="32"/>
          <w:highlight w:val="none"/>
          <w:lang w:val="en-US" w:eastAsia="zh-CN" w:bidi="ar-SA"/>
        </w:rPr>
        <w:t>指标值：</w:t>
      </w:r>
      <w:r>
        <w:rPr>
          <w:rFonts w:hint="eastAsia" w:ascii="Times New Roman" w:hAnsi="Times New Roman" w:eastAsia="仿宋_GB2312" w:cs="Times New Roman"/>
          <w:i w:val="0"/>
          <w:iCs w:val="0"/>
          <w:kern w:val="2"/>
          <w:sz w:val="32"/>
          <w:szCs w:val="32"/>
          <w:highlight w:val="none"/>
          <w:lang w:val="en-US" w:eastAsia="zh-CN" w:bidi="ar-SA"/>
        </w:rPr>
        <w:t>=100%</w:t>
      </w:r>
      <w:r>
        <w:rPr>
          <w:rFonts w:hint="default" w:ascii="Times New Roman" w:hAnsi="Times New Roman" w:eastAsia="仿宋_GB2312" w:cs="Times New Roman"/>
          <w:i w:val="0"/>
          <w:iCs w:val="0"/>
          <w:kern w:val="2"/>
          <w:sz w:val="32"/>
          <w:szCs w:val="32"/>
          <w:highlight w:val="none"/>
          <w:lang w:val="en-US" w:eastAsia="zh-CN" w:bidi="ar-SA"/>
        </w:rPr>
        <w:t>，实际完成值：</w:t>
      </w:r>
      <w:r>
        <w:rPr>
          <w:rFonts w:hint="eastAsia" w:ascii="Times New Roman" w:hAnsi="Times New Roman" w:eastAsia="仿宋_GB2312" w:cs="Times New Roman"/>
          <w:i w:val="0"/>
          <w:iCs w:val="0"/>
          <w:kern w:val="2"/>
          <w:sz w:val="32"/>
          <w:szCs w:val="32"/>
          <w:highlight w:val="none"/>
          <w:lang w:val="en-US" w:eastAsia="zh-CN" w:bidi="ar-SA"/>
        </w:rPr>
        <w:t>=100%</w:t>
      </w:r>
      <w:r>
        <w:rPr>
          <w:rFonts w:hint="default" w:ascii="Times New Roman" w:hAnsi="Times New Roman" w:eastAsia="仿宋_GB2312" w:cs="Times New Roman"/>
          <w:i w:val="0"/>
          <w:iCs w:val="0"/>
          <w:kern w:val="2"/>
          <w:sz w:val="32"/>
          <w:szCs w:val="32"/>
          <w:highlight w:val="none"/>
          <w:lang w:val="en-US" w:eastAsia="zh-CN" w:bidi="ar-SA"/>
        </w:rPr>
        <w:t>，指标完成率</w:t>
      </w:r>
      <w:r>
        <w:rPr>
          <w:rFonts w:hint="eastAsia" w:ascii="Times New Roman" w:hAnsi="Times New Roman" w:eastAsia="仿宋_GB2312" w:cs="Times New Roman"/>
          <w:i w:val="0"/>
          <w:iCs w:val="0"/>
          <w:kern w:val="2"/>
          <w:sz w:val="32"/>
          <w:szCs w:val="32"/>
          <w:highlight w:val="none"/>
          <w:lang w:val="en-US" w:eastAsia="zh-CN" w:bidi="ar-SA"/>
        </w:rPr>
        <w:t>100</w:t>
      </w:r>
      <w:r>
        <w:rPr>
          <w:rFonts w:hint="default" w:ascii="Times New Roman" w:hAnsi="Times New Roman" w:eastAsia="仿宋_GB2312" w:cs="Times New Roman"/>
          <w:i w:val="0"/>
          <w:iCs w:val="0"/>
          <w:kern w:val="2"/>
          <w:sz w:val="32"/>
          <w:szCs w:val="32"/>
          <w:highlight w:val="none"/>
          <w:lang w:val="en-US" w:eastAsia="zh-CN" w:bidi="ar-SA"/>
        </w:rPr>
        <w:t xml:space="preserve"> %</w:t>
      </w:r>
      <w:r>
        <w:rPr>
          <w:rFonts w:hint="eastAsia" w:ascii="Times New Roman" w:hAnsi="Times New Roman" w:eastAsia="仿宋_GB2312" w:cs="Times New Roman"/>
          <w:i w:val="0"/>
          <w:iCs w:val="0"/>
          <w:kern w:val="2"/>
          <w:sz w:val="32"/>
          <w:szCs w:val="32"/>
          <w:highlight w:val="none"/>
          <w:lang w:val="en-US" w:eastAsia="zh-CN" w:bidi="ar-SA"/>
        </w:rPr>
        <w:t>。</w:t>
      </w:r>
    </w:p>
    <w:p w14:paraId="76B24513">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i w:val="0"/>
          <w:iCs w:val="0"/>
          <w:kern w:val="2"/>
          <w:sz w:val="32"/>
          <w:szCs w:val="32"/>
          <w:highlight w:val="none"/>
          <w:lang w:val="en-US" w:eastAsia="zh-CN" w:bidi="ar-SA"/>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r>
        <w:rPr>
          <w:rFonts w:hint="eastAsia" w:ascii="Times New Roman" w:hAnsi="Times New Roman" w:eastAsia="仿宋_GB2312" w:cs="Times New Roman"/>
          <w:i w:val="0"/>
          <w:iCs w:val="0"/>
          <w:kern w:val="2"/>
          <w:sz w:val="32"/>
          <w:szCs w:val="32"/>
          <w:highlight w:val="none"/>
          <w:lang w:val="en-US" w:eastAsia="zh-CN" w:bidi="ar-SA"/>
        </w:rPr>
        <w:t>培训工作按时完成率，</w:t>
      </w:r>
      <w:r>
        <w:rPr>
          <w:rFonts w:hint="default" w:ascii="Times New Roman" w:hAnsi="Times New Roman" w:eastAsia="仿宋_GB2312" w:cs="Times New Roman"/>
          <w:i w:val="0"/>
          <w:iCs w:val="0"/>
          <w:kern w:val="2"/>
          <w:sz w:val="32"/>
          <w:szCs w:val="32"/>
          <w:highlight w:val="none"/>
          <w:lang w:val="en-US" w:eastAsia="zh-CN" w:bidi="ar-SA"/>
        </w:rPr>
        <w:t>指标值：</w:t>
      </w:r>
      <w:r>
        <w:rPr>
          <w:rFonts w:hint="eastAsia" w:ascii="Times New Roman" w:hAnsi="Times New Roman" w:eastAsia="仿宋_GB2312" w:cs="Times New Roman"/>
          <w:i w:val="0"/>
          <w:iCs w:val="0"/>
          <w:kern w:val="2"/>
          <w:sz w:val="32"/>
          <w:szCs w:val="32"/>
          <w:highlight w:val="none"/>
          <w:lang w:val="en-US" w:eastAsia="zh-CN" w:bidi="ar-SA"/>
        </w:rPr>
        <w:t>=100%</w:t>
      </w:r>
      <w:r>
        <w:rPr>
          <w:rFonts w:hint="default" w:ascii="Times New Roman" w:hAnsi="Times New Roman" w:eastAsia="仿宋_GB2312" w:cs="Times New Roman"/>
          <w:i w:val="0"/>
          <w:iCs w:val="0"/>
          <w:kern w:val="2"/>
          <w:sz w:val="32"/>
          <w:szCs w:val="32"/>
          <w:highlight w:val="none"/>
          <w:lang w:val="en-US" w:eastAsia="zh-CN" w:bidi="ar-SA"/>
        </w:rPr>
        <w:t>，实际完成值：</w:t>
      </w:r>
      <w:r>
        <w:rPr>
          <w:rFonts w:hint="eastAsia" w:ascii="Times New Roman" w:hAnsi="Times New Roman" w:eastAsia="仿宋_GB2312" w:cs="Times New Roman"/>
          <w:i w:val="0"/>
          <w:iCs w:val="0"/>
          <w:kern w:val="2"/>
          <w:sz w:val="32"/>
          <w:szCs w:val="32"/>
          <w:highlight w:val="none"/>
          <w:lang w:val="en-US" w:eastAsia="zh-CN" w:bidi="ar-SA"/>
        </w:rPr>
        <w:t>=100%</w:t>
      </w:r>
      <w:r>
        <w:rPr>
          <w:rFonts w:hint="default" w:ascii="Times New Roman" w:hAnsi="Times New Roman" w:eastAsia="仿宋_GB2312" w:cs="Times New Roman"/>
          <w:i w:val="0"/>
          <w:iCs w:val="0"/>
          <w:kern w:val="2"/>
          <w:sz w:val="32"/>
          <w:szCs w:val="32"/>
          <w:highlight w:val="none"/>
          <w:lang w:val="en-US" w:eastAsia="zh-CN" w:bidi="ar-SA"/>
        </w:rPr>
        <w:t>，指标完成率</w:t>
      </w:r>
      <w:r>
        <w:rPr>
          <w:rFonts w:hint="eastAsia" w:ascii="Times New Roman" w:hAnsi="Times New Roman" w:eastAsia="仿宋_GB2312" w:cs="Times New Roman"/>
          <w:i w:val="0"/>
          <w:iCs w:val="0"/>
          <w:kern w:val="2"/>
          <w:sz w:val="32"/>
          <w:szCs w:val="32"/>
          <w:highlight w:val="none"/>
          <w:lang w:val="en-US" w:eastAsia="zh-CN" w:bidi="ar-SA"/>
        </w:rPr>
        <w:t>100</w:t>
      </w:r>
      <w:r>
        <w:rPr>
          <w:rFonts w:hint="default" w:ascii="Times New Roman" w:hAnsi="Times New Roman" w:eastAsia="仿宋_GB2312" w:cs="Times New Roman"/>
          <w:i w:val="0"/>
          <w:iCs w:val="0"/>
          <w:kern w:val="2"/>
          <w:sz w:val="32"/>
          <w:szCs w:val="32"/>
          <w:highlight w:val="none"/>
          <w:lang w:val="en-US" w:eastAsia="zh-CN" w:bidi="ar-SA"/>
        </w:rPr>
        <w:t xml:space="preserve"> %。</w:t>
      </w:r>
    </w:p>
    <w:p w14:paraId="7437C573">
      <w:pPr>
        <w:pStyle w:val="12"/>
        <w:pageBreakBefore w:val="0"/>
        <w:numPr>
          <w:ilvl w:val="0"/>
          <w:numId w:val="0"/>
        </w:numPr>
        <w:kinsoku/>
        <w:wordWrap/>
        <w:overflowPunct/>
        <w:topLinePunct w:val="0"/>
        <w:bidi w:val="0"/>
        <w:snapToGrid/>
        <w:spacing w:line="560" w:lineRule="atLeast"/>
        <w:ind w:firstLine="643" w:firstLineChars="200"/>
        <w:rPr>
          <w:rFonts w:hint="default" w:ascii="Times New Roman" w:hAnsi="Times New Roman" w:eastAsia="楷体_GB2312" w:cs="Times New Roman"/>
          <w:b/>
          <w:bCs/>
          <w:sz w:val="32"/>
          <w:szCs w:val="32"/>
        </w:rPr>
      </w:pPr>
      <w:r>
        <w:rPr>
          <w:rFonts w:hint="eastAsia" w:ascii="Times New Roman" w:hAnsi="Times New Roman" w:eastAsia="楷体_GB2312" w:cs="Times New Roman"/>
          <w:b/>
          <w:bCs/>
          <w:sz w:val="32"/>
          <w:szCs w:val="32"/>
          <w:lang w:eastAsia="zh-CN"/>
        </w:rPr>
        <w:t>（四）项目成本情</w:t>
      </w:r>
      <w:r>
        <w:rPr>
          <w:rFonts w:hint="default" w:ascii="Times New Roman" w:hAnsi="Times New Roman" w:eastAsia="楷体_GB2312" w:cs="Times New Roman"/>
          <w:b/>
          <w:bCs/>
          <w:sz w:val="32"/>
          <w:szCs w:val="32"/>
          <w:lang w:val="en-US" w:eastAsia="zh-CN"/>
        </w:rPr>
        <w:t>况</w:t>
      </w:r>
    </w:p>
    <w:p w14:paraId="053B1577">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w:t>
      </w:r>
      <w:r>
        <w:rPr>
          <w:rFonts w:hint="eastAsia" w:ascii="Times New Roman" w:hAnsi="Times New Roman" w:eastAsia="仿宋_GB2312" w:cs="Times New Roman"/>
          <w:sz w:val="32"/>
          <w:szCs w:val="32"/>
          <w:lang w:val="en-US" w:eastAsia="zh-CN"/>
        </w:rPr>
        <w:t>成本</w:t>
      </w:r>
      <w:r>
        <w:rPr>
          <w:rFonts w:hint="default" w:ascii="Times New Roman" w:hAnsi="Times New Roman" w:eastAsia="仿宋_GB2312" w:cs="Times New Roman"/>
          <w:sz w:val="32"/>
          <w:szCs w:val="32"/>
          <w:lang w:val="en-US" w:eastAsia="zh-CN"/>
        </w:rPr>
        <w:t>指标包括</w:t>
      </w:r>
      <w:r>
        <w:rPr>
          <w:rFonts w:hint="eastAsia" w:ascii="Times New Roman" w:hAnsi="Times New Roman" w:eastAsia="仿宋_GB2312" w:cs="Times New Roman"/>
          <w:sz w:val="32"/>
          <w:szCs w:val="32"/>
          <w:lang w:val="en-US" w:eastAsia="zh-CN"/>
        </w:rPr>
        <w:t>经济成本指标，</w:t>
      </w:r>
      <w:r>
        <w:rPr>
          <w:rFonts w:hint="default" w:ascii="Times New Roman" w:hAnsi="Times New Roman" w:eastAsia="仿宋_GB2312" w:cs="Times New Roman"/>
          <w:sz w:val="32"/>
          <w:szCs w:val="32"/>
          <w:lang w:val="en-US" w:eastAsia="zh-CN"/>
        </w:rPr>
        <w:t>由</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个三级指标构成，权重分为20分，实际得分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w:t>
      </w:r>
      <w:r>
        <w:rPr>
          <w:rFonts w:hint="eastAsia" w:ascii="Times New Roman" w:hAnsi="Times New Roman" w:eastAsia="仿宋_GB2312" w:cs="Times New Roman"/>
          <w:sz w:val="32"/>
          <w:szCs w:val="32"/>
          <w:lang w:val="en-US" w:eastAsia="zh-CN"/>
        </w:rPr>
        <w:t>成本</w:t>
      </w:r>
      <w:r>
        <w:rPr>
          <w:rFonts w:hint="default" w:ascii="Times New Roman" w:hAnsi="Times New Roman" w:eastAsia="仿宋_GB2312" w:cs="Times New Roman"/>
          <w:sz w:val="32"/>
          <w:szCs w:val="32"/>
          <w:lang w:val="en-US" w:eastAsia="zh-CN"/>
        </w:rPr>
        <w:t>指标完成情况如下：</w:t>
      </w:r>
    </w:p>
    <w:p w14:paraId="7AC81FAA">
      <w:pPr>
        <w:pStyle w:val="2"/>
        <w:ind w:firstLine="640" w:firstLineChars="200"/>
        <w:rPr>
          <w:rFonts w:hint="default" w:ascii="Times New Roman" w:hAnsi="Times New Roman" w:eastAsia="仿宋_GB2312" w:cs="Times New Roman"/>
          <w:i w:val="0"/>
          <w:iCs w:val="0"/>
          <w:kern w:val="2"/>
          <w:sz w:val="32"/>
          <w:szCs w:val="32"/>
          <w:lang w:val="en-US" w:eastAsia="zh-CN" w:bidi="ar-SA"/>
        </w:rPr>
      </w:pPr>
      <w:r>
        <w:rPr>
          <w:rFonts w:hint="eastAsia" w:ascii="Times New Roman" w:hAnsi="Times New Roman" w:eastAsia="仿宋_GB2312" w:cs="Times New Roman"/>
          <w:i w:val="0"/>
          <w:iCs w:val="0"/>
          <w:kern w:val="2"/>
          <w:sz w:val="32"/>
          <w:szCs w:val="32"/>
          <w:lang w:val="en-US" w:eastAsia="zh-CN" w:bidi="ar-SA"/>
        </w:rPr>
        <w:t>经济成本指标：应急救援培训基地建设费用，指标值：</w:t>
      </w:r>
      <w:r>
        <w:rPr>
          <w:rFonts w:hint="default" w:ascii="Times New Roman" w:hAnsi="Times New Roman" w:eastAsia="仿宋_GB2312" w:cs="Times New Roman"/>
          <w:i w:val="0"/>
          <w:iCs w:val="0"/>
          <w:kern w:val="2"/>
          <w:sz w:val="32"/>
          <w:szCs w:val="32"/>
          <w:lang w:val="en-US" w:eastAsia="zh-CN" w:bidi="ar-SA"/>
        </w:rPr>
        <w:t>≤</w:t>
      </w:r>
      <w:r>
        <w:rPr>
          <w:rFonts w:hint="eastAsia" w:ascii="Times New Roman" w:hAnsi="Times New Roman" w:eastAsia="仿宋_GB2312" w:cs="Times New Roman"/>
          <w:i w:val="0"/>
          <w:iCs w:val="0"/>
          <w:kern w:val="2"/>
          <w:sz w:val="32"/>
          <w:szCs w:val="32"/>
          <w:lang w:val="en-US" w:eastAsia="zh-CN" w:bidi="ar-SA"/>
        </w:rPr>
        <w:t>10万元，</w:t>
      </w:r>
      <w:r>
        <w:rPr>
          <w:rFonts w:hint="default" w:ascii="Times New Roman" w:hAnsi="Times New Roman" w:eastAsia="仿宋_GB2312" w:cs="Times New Roman"/>
          <w:i w:val="0"/>
          <w:iCs w:val="0"/>
          <w:kern w:val="2"/>
          <w:sz w:val="32"/>
          <w:szCs w:val="32"/>
          <w:lang w:val="en-US" w:eastAsia="zh-CN" w:bidi="ar-SA"/>
        </w:rPr>
        <w:t>实际完成值：</w:t>
      </w:r>
      <w:r>
        <w:rPr>
          <w:rFonts w:hint="eastAsia" w:ascii="Times New Roman" w:hAnsi="Times New Roman" w:eastAsia="仿宋_GB2312" w:cs="Times New Roman"/>
          <w:i w:val="0"/>
          <w:iCs w:val="0"/>
          <w:kern w:val="2"/>
          <w:sz w:val="32"/>
          <w:szCs w:val="32"/>
          <w:lang w:val="en-US" w:eastAsia="zh-CN" w:bidi="ar-SA"/>
        </w:rPr>
        <w:t>=10万元</w:t>
      </w:r>
      <w:r>
        <w:rPr>
          <w:rFonts w:hint="default" w:ascii="Times New Roman" w:hAnsi="Times New Roman" w:eastAsia="仿宋_GB2312" w:cs="Times New Roman"/>
          <w:i w:val="0"/>
          <w:iCs w:val="0"/>
          <w:kern w:val="2"/>
          <w:sz w:val="32"/>
          <w:szCs w:val="32"/>
          <w:lang w:val="en-US" w:eastAsia="zh-CN" w:bidi="ar-SA"/>
        </w:rPr>
        <w:t>，指标完成率</w:t>
      </w:r>
      <w:r>
        <w:rPr>
          <w:rFonts w:hint="eastAsia" w:ascii="Times New Roman" w:hAnsi="Times New Roman" w:eastAsia="仿宋_GB2312" w:cs="Times New Roman"/>
          <w:i w:val="0"/>
          <w:iCs w:val="0"/>
          <w:kern w:val="2"/>
          <w:sz w:val="32"/>
          <w:szCs w:val="32"/>
          <w:lang w:val="en-US" w:eastAsia="zh-CN" w:bidi="ar-SA"/>
        </w:rPr>
        <w:t>100</w:t>
      </w:r>
      <w:r>
        <w:rPr>
          <w:rFonts w:hint="default" w:ascii="Times New Roman" w:hAnsi="Times New Roman" w:eastAsia="仿宋_GB2312" w:cs="Times New Roman"/>
          <w:i w:val="0"/>
          <w:iCs w:val="0"/>
          <w:kern w:val="2"/>
          <w:sz w:val="32"/>
          <w:szCs w:val="32"/>
          <w:lang w:val="en-US" w:eastAsia="zh-CN" w:bidi="ar-SA"/>
        </w:rPr>
        <w:t xml:space="preserve"> %。</w:t>
      </w:r>
    </w:p>
    <w:p w14:paraId="39FCF448">
      <w:pPr>
        <w:pStyle w:val="12"/>
        <w:pageBreakBefore w:val="0"/>
        <w:numPr>
          <w:ilvl w:val="0"/>
          <w:numId w:val="0"/>
        </w:numPr>
        <w:kinsoku/>
        <w:wordWrap/>
        <w:overflowPunct/>
        <w:topLinePunct w:val="0"/>
        <w:bidi w:val="0"/>
        <w:snapToGrid/>
        <w:spacing w:line="560" w:lineRule="atLeast"/>
        <w:ind w:firstLine="643" w:firstLineChars="200"/>
        <w:rPr>
          <w:rFonts w:hint="default" w:ascii="Times New Roman" w:hAnsi="Times New Roman" w:eastAsia="楷体_GB2312" w:cs="Times New Roman"/>
          <w:b/>
          <w:bCs/>
          <w:sz w:val="32"/>
          <w:szCs w:val="32"/>
          <w:lang w:val="en-US" w:eastAsia="zh-CN"/>
        </w:rPr>
      </w:pPr>
      <w:r>
        <w:rPr>
          <w:rFonts w:hint="eastAsia"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CN"/>
        </w:rPr>
        <w:t>项目效益情况</w:t>
      </w:r>
    </w:p>
    <w:p w14:paraId="2681FCE0">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i w:val="0"/>
          <w:iCs w:val="0"/>
          <w:kern w:val="2"/>
          <w:sz w:val="32"/>
          <w:szCs w:val="32"/>
          <w:lang w:val="en-US" w:eastAsia="zh-CN" w:bidi="ar-SA"/>
        </w:rPr>
      </w:pPr>
      <w:r>
        <w:rPr>
          <w:rFonts w:hint="default" w:ascii="Times New Roman" w:hAnsi="Times New Roman" w:eastAsia="仿宋_GB2312" w:cs="Times New Roman"/>
          <w:i w:val="0"/>
          <w:iCs w:val="0"/>
          <w:kern w:val="2"/>
          <w:sz w:val="32"/>
          <w:szCs w:val="32"/>
          <w:lang w:val="en-US" w:eastAsia="zh-CN" w:bidi="ar-SA"/>
        </w:rPr>
        <w:t>项目效益类指标包括项目实施效益和满意度两方面的内容，由</w:t>
      </w:r>
      <w:r>
        <w:rPr>
          <w:rFonts w:hint="eastAsia" w:ascii="Times New Roman" w:hAnsi="Times New Roman" w:eastAsia="仿宋_GB2312" w:cs="Times New Roman"/>
          <w:i w:val="0"/>
          <w:iCs w:val="0"/>
          <w:kern w:val="2"/>
          <w:sz w:val="32"/>
          <w:szCs w:val="32"/>
          <w:lang w:val="en-US" w:eastAsia="zh-CN" w:bidi="ar-SA"/>
        </w:rPr>
        <w:t>2</w:t>
      </w:r>
      <w:r>
        <w:rPr>
          <w:rFonts w:hint="default" w:ascii="Times New Roman" w:hAnsi="Times New Roman" w:eastAsia="仿宋_GB2312" w:cs="Times New Roman"/>
          <w:i w:val="0"/>
          <w:iCs w:val="0"/>
          <w:kern w:val="2"/>
          <w:sz w:val="32"/>
          <w:szCs w:val="32"/>
          <w:lang w:val="en-US" w:eastAsia="zh-CN" w:bidi="ar-SA"/>
        </w:rPr>
        <w:t>个三级指标构成，权重分为</w:t>
      </w:r>
      <w:r>
        <w:rPr>
          <w:rFonts w:hint="eastAsia" w:ascii="Times New Roman" w:hAnsi="Times New Roman" w:eastAsia="仿宋_GB2312" w:cs="Times New Roman"/>
          <w:i w:val="0"/>
          <w:iCs w:val="0"/>
          <w:kern w:val="2"/>
          <w:sz w:val="32"/>
          <w:szCs w:val="32"/>
          <w:lang w:val="en-US" w:eastAsia="zh-CN" w:bidi="ar-SA"/>
        </w:rPr>
        <w:t>30</w:t>
      </w:r>
      <w:r>
        <w:rPr>
          <w:rFonts w:hint="default" w:ascii="Times New Roman" w:hAnsi="Times New Roman" w:eastAsia="仿宋_GB2312" w:cs="Times New Roman"/>
          <w:i w:val="0"/>
          <w:iCs w:val="0"/>
          <w:kern w:val="2"/>
          <w:sz w:val="32"/>
          <w:szCs w:val="32"/>
          <w:lang w:val="en-US" w:eastAsia="zh-CN" w:bidi="ar-SA"/>
        </w:rPr>
        <w:t>分，实际得分</w:t>
      </w:r>
      <w:r>
        <w:rPr>
          <w:rFonts w:hint="eastAsia" w:ascii="Times New Roman" w:hAnsi="Times New Roman" w:eastAsia="仿宋_GB2312" w:cs="Times New Roman"/>
          <w:i w:val="0"/>
          <w:iCs w:val="0"/>
          <w:kern w:val="2"/>
          <w:sz w:val="32"/>
          <w:szCs w:val="32"/>
          <w:lang w:val="en-US" w:eastAsia="zh-CN" w:bidi="ar-SA"/>
        </w:rPr>
        <w:t>30</w:t>
      </w:r>
      <w:r>
        <w:rPr>
          <w:rFonts w:hint="default" w:ascii="Times New Roman" w:hAnsi="Times New Roman" w:eastAsia="仿宋_GB2312" w:cs="Times New Roman"/>
          <w:i w:val="0"/>
          <w:iCs w:val="0"/>
          <w:kern w:val="2"/>
          <w:sz w:val="32"/>
          <w:szCs w:val="32"/>
          <w:lang w:val="en-US" w:eastAsia="zh-CN" w:bidi="ar-SA"/>
        </w:rPr>
        <w:t>分，得分率为</w:t>
      </w:r>
      <w:r>
        <w:rPr>
          <w:rFonts w:hint="eastAsia" w:ascii="Times New Roman" w:hAnsi="Times New Roman" w:eastAsia="仿宋_GB2312" w:cs="Times New Roman"/>
          <w:i w:val="0"/>
          <w:iCs w:val="0"/>
          <w:kern w:val="2"/>
          <w:sz w:val="32"/>
          <w:szCs w:val="32"/>
          <w:lang w:val="en-US" w:eastAsia="zh-CN" w:bidi="ar-SA"/>
        </w:rPr>
        <w:t>100</w:t>
      </w:r>
      <w:r>
        <w:rPr>
          <w:rFonts w:hint="default" w:ascii="Times New Roman" w:hAnsi="Times New Roman" w:eastAsia="仿宋_GB2312" w:cs="Times New Roman"/>
          <w:i w:val="0"/>
          <w:iCs w:val="0"/>
          <w:kern w:val="2"/>
          <w:sz w:val="32"/>
          <w:szCs w:val="32"/>
          <w:lang w:val="en-US" w:eastAsia="zh-CN" w:bidi="ar-SA"/>
        </w:rPr>
        <w:t>%。具体效益指标及满意度指标完成情况如下：</w:t>
      </w:r>
    </w:p>
    <w:p w14:paraId="1E7679B4">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22A6A21C">
      <w:pPr>
        <w:pStyle w:val="2"/>
        <w:ind w:firstLine="640" w:firstLineChars="200"/>
        <w:rPr>
          <w:rFonts w:hint="eastAsia" w:ascii="Times New Roman" w:hAnsi="Times New Roman" w:eastAsia="仿宋_GB2312" w:cs="Times New Roman"/>
          <w:i w:val="0"/>
          <w:iCs w:val="0"/>
          <w:kern w:val="2"/>
          <w:sz w:val="32"/>
          <w:szCs w:val="32"/>
          <w:lang w:val="en-US" w:eastAsia="zh-CN" w:bidi="ar-SA"/>
        </w:rPr>
      </w:pPr>
      <w:r>
        <w:rPr>
          <w:rFonts w:hint="default" w:ascii="Times New Roman" w:hAnsi="Times New Roman" w:eastAsia="仿宋_GB2312" w:cs="Times New Roman"/>
          <w:i w:val="0"/>
          <w:iCs w:val="0"/>
          <w:kern w:val="2"/>
          <w:sz w:val="32"/>
          <w:szCs w:val="32"/>
          <w:lang w:val="en-US" w:eastAsia="zh-CN" w:bidi="ar-SA"/>
        </w:rPr>
        <w:t>社会效益指标：</w:t>
      </w:r>
      <w:r>
        <w:rPr>
          <w:rFonts w:hint="eastAsia" w:ascii="Times New Roman" w:hAnsi="Times New Roman" w:eastAsia="仿宋_GB2312" w:cs="Times New Roman"/>
          <w:i w:val="0"/>
          <w:iCs w:val="0"/>
          <w:kern w:val="2"/>
          <w:sz w:val="32"/>
          <w:szCs w:val="32"/>
          <w:lang w:val="en-US" w:eastAsia="zh-CN" w:bidi="ar-SA"/>
        </w:rPr>
        <w:t>提高救护员取证率，指标值：提高，</w:t>
      </w:r>
      <w:r>
        <w:rPr>
          <w:rFonts w:hint="default" w:ascii="Times New Roman" w:hAnsi="Times New Roman" w:eastAsia="仿宋_GB2312" w:cs="Times New Roman"/>
          <w:i w:val="0"/>
          <w:iCs w:val="0"/>
          <w:kern w:val="2"/>
          <w:sz w:val="32"/>
          <w:szCs w:val="32"/>
          <w:lang w:val="en-US" w:eastAsia="zh-CN" w:bidi="ar-SA"/>
        </w:rPr>
        <w:t>实际完成值：</w:t>
      </w:r>
      <w:r>
        <w:rPr>
          <w:rFonts w:hint="eastAsia" w:ascii="Times New Roman" w:hAnsi="Times New Roman" w:eastAsia="仿宋_GB2312" w:cs="Times New Roman"/>
          <w:i w:val="0"/>
          <w:iCs w:val="0"/>
          <w:kern w:val="2"/>
          <w:sz w:val="32"/>
          <w:szCs w:val="32"/>
          <w:lang w:val="en-US" w:eastAsia="zh-CN" w:bidi="ar-SA"/>
        </w:rPr>
        <w:t>提高</w:t>
      </w:r>
      <w:r>
        <w:rPr>
          <w:rFonts w:hint="default" w:ascii="Times New Roman" w:hAnsi="Times New Roman" w:eastAsia="仿宋_GB2312" w:cs="Times New Roman"/>
          <w:i w:val="0"/>
          <w:iCs w:val="0"/>
          <w:kern w:val="2"/>
          <w:sz w:val="32"/>
          <w:szCs w:val="32"/>
          <w:lang w:val="en-US" w:eastAsia="zh-CN" w:bidi="ar-SA"/>
        </w:rPr>
        <w:t>，指标完成率</w:t>
      </w:r>
      <w:r>
        <w:rPr>
          <w:rFonts w:hint="eastAsia" w:ascii="Times New Roman" w:hAnsi="Times New Roman" w:eastAsia="仿宋_GB2312" w:cs="Times New Roman"/>
          <w:i w:val="0"/>
          <w:iCs w:val="0"/>
          <w:kern w:val="2"/>
          <w:sz w:val="32"/>
          <w:szCs w:val="32"/>
          <w:lang w:val="en-US" w:eastAsia="zh-CN" w:bidi="ar-SA"/>
        </w:rPr>
        <w:t>100</w:t>
      </w:r>
      <w:r>
        <w:rPr>
          <w:rFonts w:hint="default" w:ascii="Times New Roman" w:hAnsi="Times New Roman" w:eastAsia="仿宋_GB2312" w:cs="Times New Roman"/>
          <w:i w:val="0"/>
          <w:iCs w:val="0"/>
          <w:kern w:val="2"/>
          <w:sz w:val="32"/>
          <w:szCs w:val="32"/>
          <w:lang w:val="en-US" w:eastAsia="zh-CN" w:bidi="ar-SA"/>
        </w:rPr>
        <w:t xml:space="preserve"> %。</w:t>
      </w:r>
    </w:p>
    <w:p w14:paraId="2B1B003C">
      <w:pPr>
        <w:pageBreakBefore w:val="0"/>
        <w:numPr>
          <w:ilvl w:val="0"/>
          <w:numId w:val="0"/>
        </w:numPr>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i w:val="0"/>
          <w:iCs w:val="0"/>
          <w:kern w:val="2"/>
          <w:sz w:val="32"/>
          <w:szCs w:val="32"/>
          <w:lang w:val="en-US" w:eastAsia="zh-CN" w:bidi="ar-SA"/>
        </w:rPr>
      </w:pPr>
      <w:r>
        <w:rPr>
          <w:rFonts w:hint="eastAsia" w:ascii="Times New Roman" w:hAnsi="Times New Roman" w:eastAsia="仿宋_GB2312" w:cs="Times New Roman"/>
          <w:i w:val="0"/>
          <w:iCs w:val="0"/>
          <w:kern w:val="2"/>
          <w:sz w:val="32"/>
          <w:szCs w:val="32"/>
          <w:lang w:val="en-US" w:eastAsia="zh-CN" w:bidi="ar-SA"/>
        </w:rPr>
        <w:t>2.</w:t>
      </w:r>
      <w:r>
        <w:rPr>
          <w:rFonts w:hint="default" w:ascii="Times New Roman" w:hAnsi="Times New Roman" w:eastAsia="仿宋_GB2312" w:cs="Times New Roman"/>
          <w:i w:val="0"/>
          <w:iCs w:val="0"/>
          <w:kern w:val="2"/>
          <w:sz w:val="32"/>
          <w:szCs w:val="32"/>
          <w:lang w:val="en-US" w:eastAsia="zh-CN" w:bidi="ar-SA"/>
        </w:rPr>
        <w:t>满意度</w:t>
      </w:r>
    </w:p>
    <w:p w14:paraId="31A85548">
      <w:pPr>
        <w:pStyle w:val="2"/>
        <w:ind w:firstLine="640" w:firstLineChars="200"/>
        <w:rPr>
          <w:rFonts w:hint="default" w:ascii="Times New Roman" w:hAnsi="Times New Roman" w:eastAsia="仿宋_GB2312" w:cs="Times New Roman"/>
          <w:i w:val="0"/>
          <w:iCs w:val="0"/>
          <w:kern w:val="2"/>
          <w:sz w:val="32"/>
          <w:szCs w:val="32"/>
          <w:lang w:val="en-US" w:eastAsia="zh-CN" w:bidi="ar-SA"/>
        </w:rPr>
      </w:pPr>
      <w:r>
        <w:rPr>
          <w:rFonts w:hint="eastAsia" w:ascii="Times New Roman" w:hAnsi="Times New Roman" w:eastAsia="仿宋_GB2312" w:cs="Times New Roman"/>
          <w:i w:val="0"/>
          <w:iCs w:val="0"/>
          <w:kern w:val="2"/>
          <w:sz w:val="32"/>
          <w:szCs w:val="32"/>
          <w:lang w:val="en-US" w:eastAsia="zh-CN" w:bidi="ar-SA"/>
        </w:rPr>
        <w:t>满意度指标</w:t>
      </w:r>
      <w:r>
        <w:rPr>
          <w:rFonts w:hint="default" w:ascii="Times New Roman" w:hAnsi="Times New Roman" w:eastAsia="仿宋_GB2312" w:cs="Times New Roman"/>
          <w:i w:val="0"/>
          <w:iCs w:val="0"/>
          <w:kern w:val="2"/>
          <w:sz w:val="32"/>
          <w:szCs w:val="32"/>
          <w:lang w:val="en-US" w:eastAsia="zh-CN" w:bidi="ar-SA"/>
        </w:rPr>
        <w:t>：</w:t>
      </w:r>
      <w:r>
        <w:rPr>
          <w:rFonts w:hint="eastAsia" w:ascii="Times New Roman" w:hAnsi="Times New Roman" w:eastAsia="仿宋_GB2312" w:cs="Times New Roman"/>
          <w:i w:val="0"/>
          <w:iCs w:val="0"/>
          <w:kern w:val="2"/>
          <w:sz w:val="32"/>
          <w:szCs w:val="32"/>
          <w:lang w:val="en-US" w:eastAsia="zh-CN" w:bidi="ar-SA"/>
        </w:rPr>
        <w:t>培训人员满意度，指标值：</w:t>
      </w:r>
      <w:r>
        <w:rPr>
          <w:rFonts w:hint="default" w:ascii="Times New Roman" w:hAnsi="Times New Roman" w:eastAsia="仿宋_GB2312" w:cs="Times New Roman"/>
          <w:i w:val="0"/>
          <w:iCs w:val="0"/>
          <w:kern w:val="2"/>
          <w:sz w:val="32"/>
          <w:szCs w:val="32"/>
          <w:lang w:val="en-US" w:eastAsia="zh-CN" w:bidi="ar-SA"/>
        </w:rPr>
        <w:t>指标值：</w:t>
      </w:r>
      <w:r>
        <w:rPr>
          <w:rFonts w:hint="eastAsia" w:ascii="Times New Roman" w:hAnsi="Times New Roman" w:eastAsia="仿宋_GB2312" w:cs="Times New Roman"/>
          <w:i w:val="0"/>
          <w:iCs w:val="0"/>
          <w:kern w:val="2"/>
          <w:sz w:val="32"/>
          <w:szCs w:val="32"/>
          <w:lang w:val="en-US" w:eastAsia="zh-CN" w:bidi="ar-SA"/>
        </w:rPr>
        <w:t>=100%</w:t>
      </w:r>
      <w:r>
        <w:rPr>
          <w:rFonts w:hint="default" w:ascii="Times New Roman" w:hAnsi="Times New Roman" w:eastAsia="仿宋_GB2312" w:cs="Times New Roman"/>
          <w:i w:val="0"/>
          <w:iCs w:val="0"/>
          <w:kern w:val="2"/>
          <w:sz w:val="32"/>
          <w:szCs w:val="32"/>
          <w:lang w:val="en-US" w:eastAsia="zh-CN" w:bidi="ar-SA"/>
        </w:rPr>
        <w:t>，实际完成值：</w:t>
      </w:r>
      <w:r>
        <w:rPr>
          <w:rFonts w:hint="eastAsia" w:ascii="Times New Roman" w:hAnsi="Times New Roman" w:eastAsia="仿宋_GB2312" w:cs="Times New Roman"/>
          <w:i w:val="0"/>
          <w:iCs w:val="0"/>
          <w:kern w:val="2"/>
          <w:sz w:val="32"/>
          <w:szCs w:val="32"/>
          <w:lang w:val="en-US" w:eastAsia="zh-CN" w:bidi="ar-SA"/>
        </w:rPr>
        <w:t>=100%</w:t>
      </w:r>
      <w:r>
        <w:rPr>
          <w:rFonts w:hint="default" w:ascii="Times New Roman" w:hAnsi="Times New Roman" w:eastAsia="仿宋_GB2312" w:cs="Times New Roman"/>
          <w:i w:val="0"/>
          <w:iCs w:val="0"/>
          <w:kern w:val="2"/>
          <w:sz w:val="32"/>
          <w:szCs w:val="32"/>
          <w:lang w:val="en-US" w:eastAsia="zh-CN" w:bidi="ar-SA"/>
        </w:rPr>
        <w:t>，指标完成率</w:t>
      </w:r>
      <w:r>
        <w:rPr>
          <w:rFonts w:hint="eastAsia" w:ascii="Times New Roman" w:hAnsi="Times New Roman" w:eastAsia="仿宋_GB2312" w:cs="Times New Roman"/>
          <w:i w:val="0"/>
          <w:iCs w:val="0"/>
          <w:kern w:val="2"/>
          <w:sz w:val="32"/>
          <w:szCs w:val="32"/>
          <w:lang w:val="en-US" w:eastAsia="zh-CN" w:bidi="ar-SA"/>
        </w:rPr>
        <w:t>100</w:t>
      </w:r>
      <w:r>
        <w:rPr>
          <w:rFonts w:hint="default" w:ascii="Times New Roman" w:hAnsi="Times New Roman" w:eastAsia="仿宋_GB2312" w:cs="Times New Roman"/>
          <w:i w:val="0"/>
          <w:iCs w:val="0"/>
          <w:kern w:val="2"/>
          <w:sz w:val="32"/>
          <w:szCs w:val="32"/>
          <w:lang w:val="en-US" w:eastAsia="zh-CN" w:bidi="ar-SA"/>
        </w:rPr>
        <w:t xml:space="preserve"> %。</w:t>
      </w:r>
    </w:p>
    <w:p w14:paraId="17B11CCA">
      <w:pPr>
        <w:pageBreakBefore w:val="0"/>
        <w:kinsoku/>
        <w:wordWrap/>
        <w:overflowPunct/>
        <w:topLinePunct w:val="0"/>
        <w:bidi w:val="0"/>
        <w:snapToGrid/>
        <w:spacing w:line="560" w:lineRule="atLeast"/>
        <w:ind w:firstLine="640" w:firstLineChars="200"/>
        <w:rPr>
          <w:rFonts w:hint="eastAsia" w:ascii="黑体" w:hAnsi="黑体" w:eastAsia="黑体" w:cs="黑体"/>
          <w:b w:val="0"/>
          <w:bCs w:val="0"/>
          <w:sz w:val="32"/>
          <w:szCs w:val="32"/>
          <w:lang w:val="en-U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预算执行进度与绩效指标总体完成率偏差</w:t>
      </w:r>
    </w:p>
    <w:p w14:paraId="6C366915">
      <w:pPr>
        <w:pStyle w:val="22"/>
        <w:pageBreakBefore w:val="0"/>
        <w:kinsoku/>
        <w:wordWrap/>
        <w:overflowPunct/>
        <w:topLinePunct w:val="0"/>
        <w:bidi w:val="0"/>
        <w:snapToGrid/>
        <w:spacing w:line="560" w:lineRule="atLeast"/>
        <w:ind w:firstLine="640"/>
        <w:rPr>
          <w:rFonts w:hint="eastAsia" w:ascii="Times New Roman" w:hAnsi="Times New Roman" w:eastAsia="仿宋_GB2312" w:cs="Times New Roman"/>
          <w:i w:val="0"/>
          <w:iCs w:val="0"/>
          <w:kern w:val="2"/>
          <w:sz w:val="32"/>
          <w:szCs w:val="32"/>
          <w:lang w:val="en-US" w:eastAsia="zh-CN" w:bidi="ar-SA"/>
        </w:rPr>
      </w:pPr>
      <w:r>
        <w:rPr>
          <w:rFonts w:hint="eastAsia" w:ascii="Times New Roman" w:hAnsi="Times New Roman" w:eastAsia="仿宋_GB2312" w:cs="Times New Roman"/>
          <w:i w:val="0"/>
          <w:iCs w:val="0"/>
          <w:kern w:val="2"/>
          <w:sz w:val="32"/>
          <w:szCs w:val="32"/>
          <w:lang w:val="en-US" w:eastAsia="zh-CN" w:bidi="ar-SA"/>
        </w:rPr>
        <w:t>应急救护培训基地项目年初预算10万元，全年预算10万元，实际支出10万元，预算执行率为100%，项目绩效指标总体完成率为183.14%，</w:t>
      </w:r>
      <w:r>
        <w:rPr>
          <w:rFonts w:hint="eastAsia" w:ascii="Times New Roman" w:hAnsi="Times New Roman" w:eastAsia="仿宋_GB2312" w:cs="Times New Roman"/>
          <w:i w:val="0"/>
          <w:iCs w:val="0"/>
          <w:kern w:val="2"/>
          <w:sz w:val="32"/>
          <w:szCs w:val="32"/>
          <w:lang w:val="en-US" w:bidi="ar-SA"/>
        </w:rPr>
        <w:t>总体</w:t>
      </w:r>
      <w:r>
        <w:rPr>
          <w:rFonts w:hint="eastAsia" w:ascii="Times New Roman" w:hAnsi="Times New Roman" w:eastAsia="仿宋_GB2312" w:cs="Times New Roman"/>
          <w:i w:val="0"/>
          <w:iCs w:val="0"/>
          <w:kern w:val="2"/>
          <w:sz w:val="32"/>
          <w:szCs w:val="32"/>
          <w:lang w:val="en-US" w:eastAsia="zh-CN" w:bidi="ar-SA"/>
        </w:rPr>
        <w:t>偏差率为83.14%%，</w:t>
      </w:r>
      <w:r>
        <w:rPr>
          <w:rFonts w:hint="eastAsia" w:ascii="Times New Roman" w:hAnsi="Times New Roman" w:eastAsia="仿宋_GB2312" w:cs="Times New Roman"/>
          <w:i w:val="0"/>
          <w:iCs w:val="0"/>
          <w:kern w:val="2"/>
          <w:sz w:val="32"/>
          <w:szCs w:val="32"/>
          <w:lang w:val="en-US" w:bidi="ar-SA"/>
        </w:rPr>
        <w:t>偏差</w:t>
      </w:r>
      <w:r>
        <w:rPr>
          <w:rFonts w:hint="eastAsia" w:ascii="Times New Roman" w:hAnsi="Times New Roman" w:eastAsia="仿宋_GB2312" w:cs="Times New Roman"/>
          <w:i w:val="0"/>
          <w:iCs w:val="0"/>
          <w:kern w:val="2"/>
          <w:sz w:val="32"/>
          <w:szCs w:val="32"/>
          <w:lang w:val="en-US" w:eastAsia="zh-CN" w:bidi="ar-SA"/>
        </w:rPr>
        <w:t>原因：为增强群众自救互救意识和技能，提高群众性应急救护能力和水平，市红十字会大力开展应急救护培训，普及应急救护知识，所以全年建成应急救护培训基地、培训人员数量超额完成目标。</w:t>
      </w:r>
      <w:r>
        <w:rPr>
          <w:rFonts w:hint="eastAsia" w:ascii="Times New Roman" w:hAnsi="Times New Roman" w:eastAsia="仿宋_GB2312" w:cs="Times New Roman"/>
          <w:i w:val="0"/>
          <w:iCs w:val="0"/>
          <w:kern w:val="2"/>
          <w:sz w:val="32"/>
          <w:szCs w:val="32"/>
          <w:lang w:val="en-US" w:bidi="ar-SA"/>
        </w:rPr>
        <w:t>改进</w:t>
      </w:r>
      <w:r>
        <w:rPr>
          <w:rFonts w:hint="eastAsia" w:ascii="Times New Roman" w:hAnsi="Times New Roman" w:eastAsia="仿宋_GB2312" w:cs="Times New Roman"/>
          <w:i w:val="0"/>
          <w:iCs w:val="0"/>
          <w:kern w:val="2"/>
          <w:sz w:val="32"/>
          <w:szCs w:val="32"/>
          <w:lang w:val="en-US" w:eastAsia="zh-CN" w:bidi="ar-SA"/>
        </w:rPr>
        <w:t>措施：预算编制过程中，要结合往年工作情况合理设置目标值。</w:t>
      </w:r>
    </w:p>
    <w:p w14:paraId="5D976E54">
      <w:pPr>
        <w:pageBreakBefore w:val="0"/>
        <w:kinsoku/>
        <w:wordWrap/>
        <w:overflowPunct/>
        <w:topLinePunct w:val="0"/>
        <w:bidi w:val="0"/>
        <w:snapToGrid/>
        <w:spacing w:line="560" w:lineRule="atLeast"/>
        <w:ind w:firstLine="640" w:firstLineChars="200"/>
        <w:rPr>
          <w:rStyle w:val="21"/>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3838EB91">
      <w:pPr>
        <w:pageBreakBefore w:val="0"/>
        <w:kinsoku/>
        <w:wordWrap/>
        <w:overflowPunct/>
        <w:topLinePunct w:val="0"/>
        <w:bidi w:val="0"/>
        <w:snapToGrid/>
        <w:spacing w:line="560" w:lineRule="atLeas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2C94CAA1">
      <w:pPr>
        <w:pageBreakBefore w:val="0"/>
        <w:kinsoku/>
        <w:wordWrap/>
        <w:overflowPunct/>
        <w:topLinePunct w:val="0"/>
        <w:bidi w:val="0"/>
        <w:snapToGrid/>
        <w:spacing w:line="560" w:lineRule="atLeas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381AC6D">
      <w:pPr>
        <w:pStyle w:val="11"/>
        <w:pageBreakBefore w:val="0"/>
        <w:kinsoku/>
        <w:wordWrap/>
        <w:overflowPunct/>
        <w:topLinePunct w:val="0"/>
        <w:bidi w:val="0"/>
        <w:snapToGrid/>
        <w:spacing w:before="0" w:after="0" w:line="560" w:lineRule="atLeas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C4EFC79">
      <w:pPr>
        <w:keepNext/>
        <w:keepLines/>
        <w:pageBreakBefore w:val="0"/>
        <w:numPr>
          <w:ilvl w:val="0"/>
          <w:numId w:val="5"/>
        </w:numPr>
        <w:kinsoku/>
        <w:wordWrap/>
        <w:overflowPunct/>
        <w:topLinePunct w:val="0"/>
        <w:bidi w:val="0"/>
        <w:snapToGrid/>
        <w:spacing w:line="560" w:lineRule="atLeas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68332630">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DD34D0B">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1743D16D">
      <w:pPr>
        <w:pageBreakBefore w:val="0"/>
        <w:kinsoku/>
        <w:wordWrap/>
        <w:overflowPunct/>
        <w:topLinePunct w:val="0"/>
        <w:bidi w:val="0"/>
        <w:snapToGrid/>
        <w:spacing w:line="560" w:lineRule="atLeas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60CD90E4">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619D0B45">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433183D">
      <w:pPr>
        <w:pageBreakBefore w:val="0"/>
        <w:shd w:val="clear" w:color="auto" w:fill="auto"/>
        <w:kinsoku/>
        <w:wordWrap/>
        <w:overflowPunct/>
        <w:topLinePunct w:val="0"/>
        <w:bidi w:val="0"/>
        <w:snapToGrid/>
        <w:spacing w:line="560" w:lineRule="atLeast"/>
        <w:ind w:firstLine="640" w:firstLineChars="200"/>
        <w:outlineLvl w:val="0"/>
        <w:rPr>
          <w:rFonts w:hint="default" w:ascii="Times New Roman" w:hAnsi="Times New Roman" w:cs="Times New Roman"/>
          <w:sz w:val="22"/>
          <w:szCs w:val="28"/>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199582C3">
      <w:pPr>
        <w:pageBreakBefore w:val="0"/>
        <w:kinsoku/>
        <w:wordWrap/>
        <w:overflowPunct/>
        <w:topLinePunct w:val="0"/>
        <w:bidi w:val="0"/>
        <w:snapToGrid/>
        <w:spacing w:line="560" w:lineRule="atLeas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E9FA479">
      <w:pPr>
        <w:pStyle w:val="13"/>
        <w:pageBreakBefore w:val="0"/>
        <w:kinsoku/>
        <w:wordWrap/>
        <w:overflowPunct/>
        <w:topLinePunct w:val="0"/>
        <w:bidi w:val="0"/>
        <w:snapToGrid/>
        <w:spacing w:after="0" w:line="560" w:lineRule="atLeas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本项目无其他需说明的问题。</w:t>
      </w:r>
    </w:p>
    <w:p w14:paraId="37372A17">
      <w:pPr>
        <w:pStyle w:val="13"/>
        <w:pageBreakBefore w:val="0"/>
        <w:kinsoku/>
        <w:wordWrap/>
        <w:overflowPunct/>
        <w:topLinePunct w:val="0"/>
        <w:bidi w:val="0"/>
        <w:snapToGrid/>
        <w:spacing w:after="0" w:line="560" w:lineRule="atLeast"/>
        <w:ind w:left="0" w:leftChars="0" w:firstLine="640"/>
        <w:rPr>
          <w:rFonts w:hint="eastAsia" w:ascii="Times New Roman" w:hAnsi="Times New Roman" w:eastAsia="仿宋_GB2312" w:cs="Times New Roman"/>
          <w:sz w:val="32"/>
          <w:szCs w:val="32"/>
          <w:lang w:eastAsia="zh-CN"/>
        </w:rPr>
      </w:pPr>
    </w:p>
    <w:p w14:paraId="3BF1378E">
      <w:pPr>
        <w:pStyle w:val="13"/>
        <w:pageBreakBefore w:val="0"/>
        <w:kinsoku/>
        <w:wordWrap/>
        <w:overflowPunct/>
        <w:topLinePunct w:val="0"/>
        <w:bidi w:val="0"/>
        <w:snapToGrid/>
        <w:spacing w:after="0" w:line="560" w:lineRule="atLeast"/>
        <w:ind w:left="0" w:leftChars="0" w:firstLine="640"/>
        <w:rPr>
          <w:rFonts w:hint="eastAsia" w:ascii="Times New Roman" w:hAnsi="Times New Roman" w:eastAsia="仿宋_GB2312" w:cs="Times New Roman"/>
          <w:sz w:val="32"/>
          <w:szCs w:val="32"/>
          <w:lang w:eastAsia="zh-CN"/>
        </w:rPr>
      </w:pPr>
    </w:p>
    <w:p w14:paraId="5B7AF6CA">
      <w:pPr>
        <w:pStyle w:val="13"/>
        <w:pageBreakBefore w:val="0"/>
        <w:kinsoku/>
        <w:wordWrap/>
        <w:overflowPunct/>
        <w:topLinePunct w:val="0"/>
        <w:bidi w:val="0"/>
        <w:snapToGrid/>
        <w:spacing w:after="0" w:line="560" w:lineRule="atLeast"/>
        <w:ind w:left="0" w:leftChars="0" w:firstLine="640"/>
        <w:rPr>
          <w:rFonts w:hint="eastAsia" w:ascii="Times New Roman" w:hAnsi="Times New Roman" w:eastAsia="仿宋_GB2312" w:cs="Times New Roman"/>
          <w:sz w:val="32"/>
          <w:szCs w:val="32"/>
          <w:lang w:eastAsia="zh-CN"/>
        </w:rPr>
      </w:pPr>
    </w:p>
    <w:p w14:paraId="590538A3">
      <w:pPr>
        <w:pageBreakBefore w:val="0"/>
        <w:kinsoku/>
        <w:wordWrap/>
        <w:overflowPunct/>
        <w:topLinePunct w:val="0"/>
        <w:bidi w:val="0"/>
        <w:snapToGrid/>
        <w:spacing w:line="560" w:lineRule="atLeast"/>
        <w:rPr>
          <w:rFonts w:hint="eastAsia" w:ascii="Times New Roman" w:hAnsi="Times New Roman" w:eastAsia="黑体" w:cs="Times New Roman"/>
          <w:sz w:val="32"/>
          <w:szCs w:val="32"/>
          <w:lang w:val="en-US" w:eastAsia="zh-CN"/>
        </w:rPr>
        <w:sectPr>
          <w:footerReference r:id="rId3" w:type="default"/>
          <w:pgSz w:w="11906" w:h="16838"/>
          <w:pgMar w:top="2098" w:right="1474" w:bottom="1984" w:left="1474" w:header="851" w:footer="992" w:gutter="0"/>
          <w:pgNumType w:start="1"/>
          <w:cols w:space="0" w:num="1"/>
          <w:rtlGutter w:val="0"/>
          <w:docGrid w:type="lines" w:linePitch="312" w:charSpace="0"/>
        </w:sectPr>
      </w:pPr>
    </w:p>
    <w:p w14:paraId="2294FBB9">
      <w:pPr>
        <w:pageBreakBefore w:val="0"/>
        <w:kinsoku/>
        <w:wordWrap/>
        <w:overflowPunct/>
        <w:topLinePunct w:val="0"/>
        <w:bidi w:val="0"/>
        <w:snapToGrid/>
        <w:spacing w:line="560" w:lineRule="atLeas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4C398C4B">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rPr>
      </w:pPr>
      <w:r>
        <w:rPr>
          <w:rFonts w:hint="eastAsia" w:ascii="仿宋_GB2312" w:hAnsi="仿宋_GB2312" w:eastAsia="仿宋_GB2312" w:cs="仿宋_GB2312"/>
          <w:b/>
          <w:bCs/>
          <w:i w:val="0"/>
          <w:iCs w:val="0"/>
          <w:color w:val="000000"/>
          <w:kern w:val="0"/>
          <w:sz w:val="28"/>
          <w:szCs w:val="28"/>
          <w:u w:val="none"/>
          <w:lang w:val="en-US" w:eastAsia="zh-CN"/>
        </w:rPr>
        <w:t>项目支出绩效自评表</w:t>
      </w:r>
    </w:p>
    <w:p w14:paraId="67C392BD">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rPr>
      </w:pPr>
      <w:r>
        <w:rPr>
          <w:rFonts w:hint="default" w:ascii="Times New Roman" w:hAnsi="Times New Roman" w:eastAsia="仿宋_GB2312" w:cs="Times New Roman"/>
          <w:b/>
          <w:bCs/>
          <w:i w:val="0"/>
          <w:iCs w:val="0"/>
          <w:color w:val="000000"/>
          <w:kern w:val="0"/>
          <w:sz w:val="22"/>
          <w:szCs w:val="22"/>
          <w:u w:val="none"/>
          <w:lang w:val="en-US" w:eastAsia="zh-CN"/>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3"/>
        <w:gridCol w:w="1286"/>
        <w:gridCol w:w="1306"/>
        <w:gridCol w:w="1027"/>
        <w:gridCol w:w="1135"/>
        <w:gridCol w:w="1158"/>
        <w:gridCol w:w="920"/>
        <w:gridCol w:w="833"/>
        <w:gridCol w:w="878"/>
        <w:gridCol w:w="773"/>
        <w:gridCol w:w="1027"/>
        <w:gridCol w:w="826"/>
        <w:gridCol w:w="744"/>
        <w:gridCol w:w="1281"/>
      </w:tblGrid>
      <w:tr w14:paraId="5E823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17B174">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项目名称</w:t>
            </w:r>
          </w:p>
        </w:tc>
        <w:tc>
          <w:tcPr>
            <w:tcW w:w="4220" w:type="pct"/>
            <w:gridSpan w:val="12"/>
            <w:tcBorders>
              <w:top w:val="single" w:color="auto" w:sz="4" w:space="0"/>
              <w:left w:val="single" w:color="auto" w:sz="4" w:space="0"/>
              <w:bottom w:val="single" w:color="auto" w:sz="4" w:space="0"/>
              <w:right w:val="single" w:color="auto" w:sz="4" w:space="0"/>
            </w:tcBorders>
            <w:shd w:val="clear" w:color="auto" w:fill="auto"/>
            <w:vAlign w:val="center"/>
          </w:tcPr>
          <w:p w14:paraId="0833DFCF">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应急救护培训基地项目</w:t>
            </w:r>
          </w:p>
        </w:tc>
      </w:tr>
      <w:tr w14:paraId="141B3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3803E7">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主管部门</w:t>
            </w:r>
          </w:p>
        </w:tc>
        <w:tc>
          <w:tcPr>
            <w:tcW w:w="1965"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70DC61E">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克拉玛依市红十字会</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0BBFBB">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实施单位</w:t>
            </w:r>
          </w:p>
        </w:tc>
        <w:tc>
          <w:tcPr>
            <w:tcW w:w="16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328ECBD">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克拉玛依市红十字会</w:t>
            </w:r>
          </w:p>
        </w:tc>
      </w:tr>
      <w:tr w14:paraId="2CFCF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1F5051">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项目资金</w:t>
            </w:r>
            <w:r>
              <w:rPr>
                <w:rFonts w:hint="eastAsia" w:ascii="仿宋_GB2312" w:hAnsi="仿宋_GB2312" w:eastAsia="仿宋_GB2312" w:cs="仿宋_GB2312"/>
                <w:i w:val="0"/>
                <w:iCs w:val="0"/>
                <w:color w:val="000000"/>
                <w:kern w:val="0"/>
                <w:sz w:val="18"/>
                <w:szCs w:val="18"/>
                <w:u w:val="none"/>
                <w:lang w:val="en-US" w:eastAsia="zh-CN"/>
              </w:rPr>
              <w:br w:type="textWrapping"/>
            </w:r>
            <w:r>
              <w:rPr>
                <w:rFonts w:hint="eastAsia" w:ascii="仿宋_GB2312" w:hAnsi="仿宋_GB2312" w:eastAsia="仿宋_GB2312" w:cs="仿宋_GB2312"/>
                <w:i w:val="0"/>
                <w:iCs w:val="0"/>
                <w:color w:val="000000"/>
                <w:kern w:val="0"/>
                <w:sz w:val="18"/>
                <w:szCs w:val="18"/>
                <w:u w:val="none"/>
                <w:lang w:val="en-US" w:eastAsia="zh-CN"/>
              </w:rPr>
              <w:t>（万元）</w:t>
            </w:r>
          </w:p>
        </w:tc>
        <w:tc>
          <w:tcPr>
            <w:tcW w:w="8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DDCE96">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资金来源</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30283017">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年初预算数</w:t>
            </w:r>
          </w:p>
        </w:tc>
        <w:tc>
          <w:tcPr>
            <w:tcW w:w="7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431E9B">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全年预算数</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566862">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全年执行数</w:t>
            </w:r>
          </w:p>
        </w:tc>
        <w:tc>
          <w:tcPr>
            <w:tcW w:w="6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F6A40">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分值权重</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AD26C3">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执行率</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56C3011E">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得分</w:t>
            </w:r>
          </w:p>
        </w:tc>
      </w:tr>
      <w:tr w14:paraId="0226E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2A9DD3">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C19226">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年度资金总额</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29BD693D">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7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2DB424">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E488">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A08D66">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B4BED0">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3CFB4C48">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14:paraId="163BD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A7C41C">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EB0421">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其中：当年财政拨款</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4CB92A47">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7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4B288A">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0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97CE4D">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E8F0B">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29B04A">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4B52FF93">
            <w:pPr>
              <w:pageBreakBefore w:val="0"/>
              <w:kinsoku/>
              <w:wordWrap/>
              <w:overflowPunct/>
              <w:topLinePunct w:val="0"/>
              <w:bidi w:val="0"/>
              <w:snapToGrid/>
              <w:spacing w:line="560" w:lineRule="atLeas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14:paraId="6983C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3D988C">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auto" w:sz="4" w:space="0"/>
              <w:left w:val="single" w:color="auto" w:sz="4" w:space="0"/>
              <w:bottom w:val="nil"/>
              <w:right w:val="single" w:color="auto" w:sz="4" w:space="0"/>
            </w:tcBorders>
            <w:shd w:val="clear" w:color="auto" w:fill="auto"/>
            <w:vAlign w:val="center"/>
          </w:tcPr>
          <w:p w14:paraId="7A2BE177">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其他资金</w:t>
            </w:r>
          </w:p>
        </w:tc>
        <w:tc>
          <w:tcPr>
            <w:tcW w:w="402" w:type="pct"/>
            <w:tcBorders>
              <w:top w:val="single" w:color="auto" w:sz="4" w:space="0"/>
              <w:left w:val="single" w:color="auto" w:sz="4" w:space="0"/>
              <w:bottom w:val="nil"/>
              <w:right w:val="single" w:color="auto" w:sz="4" w:space="0"/>
            </w:tcBorders>
            <w:shd w:val="clear" w:color="auto" w:fill="auto"/>
            <w:vAlign w:val="center"/>
          </w:tcPr>
          <w:p w14:paraId="6BBC9F86">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c>
          <w:tcPr>
            <w:tcW w:w="736" w:type="pct"/>
            <w:gridSpan w:val="2"/>
            <w:tcBorders>
              <w:top w:val="single" w:color="auto" w:sz="4" w:space="0"/>
              <w:left w:val="single" w:color="auto" w:sz="4" w:space="0"/>
              <w:bottom w:val="nil"/>
              <w:right w:val="single" w:color="auto" w:sz="4" w:space="0"/>
            </w:tcBorders>
            <w:shd w:val="clear" w:color="auto" w:fill="auto"/>
            <w:vAlign w:val="center"/>
          </w:tcPr>
          <w:p w14:paraId="4DAD1895">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c>
          <w:tcPr>
            <w:tcW w:w="606" w:type="pct"/>
            <w:gridSpan w:val="2"/>
            <w:tcBorders>
              <w:top w:val="single" w:color="auto" w:sz="4" w:space="0"/>
              <w:left w:val="single" w:color="auto" w:sz="4" w:space="0"/>
              <w:bottom w:val="nil"/>
              <w:right w:val="single" w:color="auto" w:sz="4" w:space="0"/>
            </w:tcBorders>
            <w:shd w:val="clear" w:color="auto" w:fill="auto"/>
            <w:vAlign w:val="center"/>
          </w:tcPr>
          <w:p w14:paraId="69F349A8">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c>
          <w:tcPr>
            <w:tcW w:w="6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A8D762">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5B2A9F">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0D9CF963">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r>
      <w:tr w14:paraId="29234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A61E40">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年度总体目标</w:t>
            </w:r>
          </w:p>
        </w:tc>
        <w:tc>
          <w:tcPr>
            <w:tcW w:w="302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D7367F6">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总体目标</w:t>
            </w:r>
          </w:p>
        </w:tc>
        <w:tc>
          <w:tcPr>
            <w:tcW w:w="16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27A7194D">
            <w:pPr>
              <w:keepNext w:val="0"/>
              <w:keepLines w:val="0"/>
              <w:pageBreakBefore w:val="0"/>
              <w:widowControl/>
              <w:suppressLineNumbers w:val="0"/>
              <w:kinsoku/>
              <w:wordWrap/>
              <w:overflowPunct/>
              <w:topLinePunct w:val="0"/>
              <w:bidi w:val="0"/>
              <w:snapToGrid/>
              <w:spacing w:line="560" w:lineRule="atLeas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总体目标完成情况</w:t>
            </w:r>
          </w:p>
        </w:tc>
      </w:tr>
      <w:tr w14:paraId="5975F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8C5BB74">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rPr>
            </w:pPr>
          </w:p>
        </w:tc>
        <w:tc>
          <w:tcPr>
            <w:tcW w:w="3027" w:type="pct"/>
            <w:gridSpan w:val="8"/>
            <w:tcBorders>
              <w:top w:val="single" w:color="auto" w:sz="4" w:space="0"/>
              <w:left w:val="single" w:color="auto" w:sz="4" w:space="0"/>
              <w:bottom w:val="single" w:color="auto" w:sz="4" w:space="0"/>
              <w:right w:val="single" w:color="auto" w:sz="4" w:space="0"/>
            </w:tcBorders>
            <w:shd w:val="clear" w:color="auto" w:fill="auto"/>
            <w:vAlign w:val="top"/>
          </w:tcPr>
          <w:p w14:paraId="7EF249ED">
            <w:pPr>
              <w:pageBreakBefore w:val="0"/>
              <w:kinsoku/>
              <w:wordWrap/>
              <w:overflowPunct/>
              <w:topLinePunct w:val="0"/>
              <w:bidi w:val="0"/>
              <w:snapToGrid/>
              <w:spacing w:line="560" w:lineRule="atLeast"/>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根据《关于印发自治区红十字会2023年工作要点》的通知（新红办【2023】1号）要求，推动应急救护培训进校园项目成果化，建立应急救护培训基地，常态化标准化开展应急救护培训工作，提高全市救护员取证率。</w:t>
            </w:r>
          </w:p>
        </w:tc>
        <w:tc>
          <w:tcPr>
            <w:tcW w:w="164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02B482A8">
            <w:pPr>
              <w:pageBreakBefore w:val="0"/>
              <w:kinsoku/>
              <w:wordWrap/>
              <w:overflowPunct/>
              <w:topLinePunct w:val="0"/>
              <w:bidi w:val="0"/>
              <w:snapToGrid/>
              <w:spacing w:line="560" w:lineRule="atLeas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通过发展应急救护培训基地数量，开展培训活动，达到建立应急救护培训基地、常态化开展应急救护培训的目标。</w:t>
            </w:r>
          </w:p>
          <w:p w14:paraId="098218F8">
            <w:pPr>
              <w:pageBreakBefore w:val="0"/>
              <w:kinsoku/>
              <w:wordWrap/>
              <w:overflowPunct/>
              <w:topLinePunct w:val="0"/>
              <w:bidi w:val="0"/>
              <w:snapToGrid/>
              <w:spacing w:line="560" w:lineRule="atLeast"/>
              <w:jc w:val="left"/>
              <w:rPr>
                <w:rFonts w:hint="eastAsia" w:ascii="仿宋_GB2312" w:hAnsi="仿宋_GB2312" w:eastAsia="仿宋_GB2312" w:cs="仿宋_GB2312"/>
                <w:i w:val="0"/>
                <w:iCs w:val="0"/>
                <w:color w:val="000000"/>
                <w:sz w:val="18"/>
                <w:szCs w:val="18"/>
                <w:u w:val="none"/>
              </w:rPr>
            </w:pPr>
          </w:p>
        </w:tc>
      </w:tr>
      <w:tr w14:paraId="1B8F8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5179D2">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73BAF5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一级指标</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14:paraId="7ABAD787">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二级指标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3065C4C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三级指标</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2FA874D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指标值</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04819C8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指标值设置依据</w:t>
            </w:r>
          </w:p>
        </w:tc>
        <w:tc>
          <w:tcPr>
            <w:tcW w:w="326" w:type="pct"/>
            <w:tcBorders>
              <w:top w:val="single" w:color="auto" w:sz="4" w:space="0"/>
              <w:left w:val="single" w:color="auto" w:sz="4" w:space="0"/>
              <w:bottom w:val="single" w:color="auto" w:sz="4" w:space="0"/>
              <w:right w:val="single" w:color="auto" w:sz="4" w:space="0"/>
            </w:tcBorders>
            <w:shd w:val="clear" w:color="auto" w:fill="auto"/>
            <w:vAlign w:val="center"/>
          </w:tcPr>
          <w:p w14:paraId="6FB482C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上年完成值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B2E0495">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指标分值权重</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0C61A145">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指标赋分规则</w:t>
            </w:r>
          </w:p>
        </w:tc>
        <w:tc>
          <w:tcPr>
            <w:tcW w:w="273" w:type="pct"/>
            <w:tcBorders>
              <w:top w:val="single" w:color="auto" w:sz="4" w:space="0"/>
              <w:left w:val="single" w:color="auto" w:sz="4" w:space="0"/>
              <w:bottom w:val="single" w:color="auto" w:sz="4" w:space="0"/>
              <w:right w:val="single" w:color="auto" w:sz="4" w:space="0"/>
            </w:tcBorders>
            <w:shd w:val="clear" w:color="auto" w:fill="auto"/>
            <w:vAlign w:val="center"/>
          </w:tcPr>
          <w:p w14:paraId="31D8B9AC">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佐证资料</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2059166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指标实际完成值</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6B550FC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完成率</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672CB48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指标得分</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33C119C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偏差原因分析及改进措施</w:t>
            </w:r>
          </w:p>
        </w:tc>
      </w:tr>
      <w:tr w14:paraId="40D0E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E6B60A">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auto" w:sz="4" w:space="0"/>
              <w:left w:val="single" w:color="auto" w:sz="4" w:space="0"/>
              <w:right w:val="single" w:color="auto" w:sz="4" w:space="0"/>
            </w:tcBorders>
            <w:shd w:val="clear" w:color="auto" w:fill="auto"/>
            <w:noWrap/>
            <w:vAlign w:val="center"/>
          </w:tcPr>
          <w:p w14:paraId="3390D69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产出指标</w:t>
            </w:r>
          </w:p>
        </w:tc>
        <w:tc>
          <w:tcPr>
            <w:tcW w:w="462" w:type="pct"/>
            <w:vMerge w:val="restart"/>
            <w:tcBorders>
              <w:top w:val="single" w:color="auto" w:sz="4" w:space="0"/>
              <w:left w:val="single" w:color="auto" w:sz="4" w:space="0"/>
              <w:right w:val="single" w:color="auto" w:sz="4" w:space="0"/>
            </w:tcBorders>
            <w:shd w:val="clear" w:color="auto" w:fill="auto"/>
            <w:noWrap/>
            <w:vAlign w:val="center"/>
          </w:tcPr>
          <w:p w14:paraId="2BFCA1D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数量指标</w:t>
            </w:r>
          </w:p>
        </w:tc>
        <w:tc>
          <w:tcPr>
            <w:tcW w:w="364" w:type="pct"/>
            <w:tcBorders>
              <w:top w:val="single" w:color="auto" w:sz="4" w:space="0"/>
              <w:left w:val="nil"/>
              <w:bottom w:val="single" w:color="auto" w:sz="4" w:space="0"/>
              <w:right w:val="single" w:color="auto" w:sz="4" w:space="0"/>
            </w:tcBorders>
            <w:shd w:val="clear" w:color="auto" w:fill="auto"/>
            <w:vAlign w:val="center"/>
          </w:tcPr>
          <w:p w14:paraId="1E34C512">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kern w:val="0"/>
                <w:sz w:val="18"/>
                <w:szCs w:val="18"/>
                <w:u w:val="none"/>
                <w:lang w:val="en-US" w:eastAsia="zh-CN"/>
              </w:rPr>
              <w:t>救护员取证人数</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2F3A9620">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0"/>
                <w:sz w:val="18"/>
                <w:szCs w:val="18"/>
                <w:u w:val="none"/>
                <w:lang w:val="en-US" w:eastAsia="zh-CN"/>
              </w:rPr>
            </w:pPr>
            <w:r>
              <w:rPr>
                <w:rFonts w:hint="default" w:ascii="仿宋_GB2312" w:hAnsi="仿宋_GB2312" w:eastAsia="仿宋_GB2312" w:cs="仿宋_GB2312"/>
                <w:i w:val="0"/>
                <w:iCs w:val="0"/>
                <w:color w:val="000000"/>
                <w:kern w:val="0"/>
                <w:sz w:val="18"/>
                <w:szCs w:val="18"/>
                <w:u w:val="none"/>
                <w:lang w:val="en-US" w:eastAsia="zh-CN"/>
              </w:rPr>
              <w:t>≥</w:t>
            </w:r>
            <w:r>
              <w:rPr>
                <w:rFonts w:hint="eastAsia" w:ascii="仿宋_GB2312" w:hAnsi="仿宋_GB2312" w:eastAsia="仿宋_GB2312" w:cs="仿宋_GB2312"/>
                <w:i w:val="0"/>
                <w:iCs w:val="0"/>
                <w:color w:val="000000"/>
                <w:kern w:val="0"/>
                <w:sz w:val="18"/>
                <w:szCs w:val="18"/>
                <w:u w:val="none"/>
                <w:lang w:val="en-US" w:eastAsia="zh-CN"/>
              </w:rPr>
              <w:t>1000人</w:t>
            </w:r>
          </w:p>
          <w:p w14:paraId="4B8BCFC7">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473BBE03">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326" w:type="pct"/>
            <w:tcBorders>
              <w:top w:val="single" w:color="auto" w:sz="4" w:space="0"/>
              <w:left w:val="single" w:color="auto" w:sz="4" w:space="0"/>
              <w:bottom w:val="single" w:color="auto" w:sz="4" w:space="0"/>
              <w:right w:val="single" w:color="auto" w:sz="4" w:space="0"/>
            </w:tcBorders>
            <w:shd w:val="clear" w:color="auto" w:fill="auto"/>
            <w:vAlign w:val="center"/>
          </w:tcPr>
          <w:p w14:paraId="641A376B">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06110471">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1044ADF7">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按照完成比例赋分</w:t>
            </w:r>
          </w:p>
        </w:tc>
        <w:tc>
          <w:tcPr>
            <w:tcW w:w="273" w:type="pct"/>
            <w:tcBorders>
              <w:top w:val="single" w:color="auto" w:sz="4" w:space="0"/>
              <w:left w:val="single" w:color="auto" w:sz="4" w:space="0"/>
              <w:bottom w:val="single" w:color="auto" w:sz="4" w:space="0"/>
              <w:right w:val="single" w:color="auto" w:sz="4" w:space="0"/>
            </w:tcBorders>
            <w:shd w:val="clear" w:color="auto" w:fill="auto"/>
            <w:vAlign w:val="center"/>
          </w:tcPr>
          <w:p w14:paraId="77FB4E44">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工作资料、原始凭证、说明材料</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648FB6B3">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=5821人</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6461F5B2">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582</w:t>
            </w:r>
            <w:r>
              <w:rPr>
                <w:rFonts w:hint="default" w:ascii="仿宋_GB2312" w:hAnsi="仿宋_GB2312" w:eastAsia="仿宋_GB2312" w:cs="仿宋_GB2312"/>
                <w:i w:val="0"/>
                <w:iCs w:val="0"/>
                <w:color w:val="000000"/>
                <w:kern w:val="0"/>
                <w:sz w:val="18"/>
                <w:szCs w:val="18"/>
                <w:u w:val="none"/>
                <w:lang w:val="en-US" w:eastAsia="zh-CN"/>
              </w:rPr>
              <w:t xml:space="preserve"> %</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689D405F">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12A65706">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因</w:t>
            </w:r>
            <w:r>
              <w:rPr>
                <w:rFonts w:hint="default" w:ascii="仿宋_GB2312" w:hAnsi="仿宋_GB2312" w:eastAsia="仿宋_GB2312" w:cs="仿宋_GB2312"/>
                <w:i w:val="0"/>
                <w:iCs w:val="0"/>
                <w:color w:val="000000"/>
                <w:kern w:val="0"/>
                <w:sz w:val="18"/>
                <w:szCs w:val="18"/>
                <w:u w:val="none"/>
                <w:lang w:val="en-US" w:eastAsia="zh-CN"/>
              </w:rPr>
              <w:t>应急救</w:t>
            </w:r>
            <w:r>
              <w:rPr>
                <w:rFonts w:hint="eastAsia" w:ascii="仿宋_GB2312" w:hAnsi="仿宋_GB2312" w:eastAsia="仿宋_GB2312" w:cs="仿宋_GB2312"/>
                <w:i w:val="0"/>
                <w:iCs w:val="0"/>
                <w:color w:val="000000"/>
                <w:kern w:val="0"/>
                <w:sz w:val="18"/>
                <w:szCs w:val="18"/>
                <w:u w:val="none"/>
                <w:lang w:val="en-US" w:eastAsia="zh-CN"/>
              </w:rPr>
              <w:t>护</w:t>
            </w:r>
            <w:r>
              <w:rPr>
                <w:rFonts w:hint="default" w:ascii="仿宋_GB2312" w:hAnsi="仿宋_GB2312" w:eastAsia="仿宋_GB2312" w:cs="仿宋_GB2312"/>
                <w:i w:val="0"/>
                <w:iCs w:val="0"/>
                <w:color w:val="000000"/>
                <w:kern w:val="0"/>
                <w:sz w:val="18"/>
                <w:szCs w:val="18"/>
                <w:u w:val="none"/>
                <w:lang w:val="en-US" w:eastAsia="zh-CN"/>
              </w:rPr>
              <w:t>知识普及广泛，报名取证人数较多，超额完成目标。</w:t>
            </w:r>
          </w:p>
          <w:p w14:paraId="2A8D108C">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p>
        </w:tc>
      </w:tr>
      <w:tr w14:paraId="65375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84F483">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55" w:type="pct"/>
            <w:vMerge w:val="continue"/>
            <w:tcBorders>
              <w:left w:val="single" w:color="auto" w:sz="4" w:space="0"/>
              <w:right w:val="single" w:color="auto" w:sz="4" w:space="0"/>
            </w:tcBorders>
            <w:shd w:val="clear" w:color="auto" w:fill="auto"/>
            <w:noWrap/>
            <w:vAlign w:val="center"/>
          </w:tcPr>
          <w:p w14:paraId="112CE88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p>
        </w:tc>
        <w:tc>
          <w:tcPr>
            <w:tcW w:w="462" w:type="pct"/>
            <w:vMerge w:val="continue"/>
            <w:tcBorders>
              <w:left w:val="single" w:color="auto" w:sz="4" w:space="0"/>
              <w:bottom w:val="nil"/>
              <w:right w:val="single" w:color="auto" w:sz="4" w:space="0"/>
            </w:tcBorders>
            <w:shd w:val="clear" w:color="auto" w:fill="auto"/>
            <w:noWrap/>
            <w:vAlign w:val="center"/>
          </w:tcPr>
          <w:p w14:paraId="7AF1392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p>
        </w:tc>
        <w:tc>
          <w:tcPr>
            <w:tcW w:w="364" w:type="pct"/>
            <w:tcBorders>
              <w:top w:val="single" w:color="auto" w:sz="4" w:space="0"/>
              <w:left w:val="nil"/>
              <w:bottom w:val="single" w:color="auto" w:sz="4" w:space="0"/>
              <w:right w:val="single" w:color="auto" w:sz="4" w:space="0"/>
            </w:tcBorders>
            <w:shd w:val="clear" w:color="auto" w:fill="auto"/>
            <w:vAlign w:val="center"/>
          </w:tcPr>
          <w:p w14:paraId="10583DEE">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应急救护培训基地数量</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18F6928C">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=1个</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026570ED">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计划标准</w:t>
            </w:r>
          </w:p>
        </w:tc>
        <w:tc>
          <w:tcPr>
            <w:tcW w:w="326" w:type="pct"/>
            <w:tcBorders>
              <w:top w:val="single" w:color="auto" w:sz="4" w:space="0"/>
              <w:left w:val="single" w:color="auto" w:sz="4" w:space="0"/>
              <w:bottom w:val="single" w:color="auto" w:sz="4" w:space="0"/>
              <w:right w:val="single" w:color="auto" w:sz="4" w:space="0"/>
            </w:tcBorders>
            <w:shd w:val="clear" w:color="auto" w:fill="auto"/>
            <w:vAlign w:val="center"/>
          </w:tcPr>
          <w:p w14:paraId="07D45AEE">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5C980D6">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2CE46F39">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按照完成比例赋分</w:t>
            </w:r>
          </w:p>
        </w:tc>
        <w:tc>
          <w:tcPr>
            <w:tcW w:w="273" w:type="pct"/>
            <w:tcBorders>
              <w:top w:val="single" w:color="auto" w:sz="4" w:space="0"/>
              <w:left w:val="single" w:color="auto" w:sz="4" w:space="0"/>
              <w:bottom w:val="single" w:color="auto" w:sz="4" w:space="0"/>
              <w:right w:val="single" w:color="auto" w:sz="4" w:space="0"/>
            </w:tcBorders>
            <w:shd w:val="clear" w:color="auto" w:fill="auto"/>
            <w:vAlign w:val="center"/>
          </w:tcPr>
          <w:p w14:paraId="65643426">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工作资料、原始凭证、说明材料</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0695901E">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=2个</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5CD86BAF">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200</w:t>
            </w:r>
            <w:r>
              <w:rPr>
                <w:rFonts w:hint="default" w:ascii="仿宋_GB2312" w:hAnsi="仿宋_GB2312" w:eastAsia="仿宋_GB2312" w:cs="仿宋_GB2312"/>
                <w:i w:val="0"/>
                <w:iCs w:val="0"/>
                <w:color w:val="000000"/>
                <w:kern w:val="0"/>
                <w:sz w:val="18"/>
                <w:szCs w:val="18"/>
                <w:u w:val="none"/>
                <w:lang w:val="en-US" w:eastAsia="zh-CN"/>
              </w:rPr>
              <w:t xml:space="preserve"> %</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089D4A5E">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74465B0B">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0"/>
                <w:sz w:val="18"/>
                <w:szCs w:val="18"/>
                <w:u w:val="none"/>
                <w:lang w:val="en-US" w:eastAsia="zh-CN"/>
              </w:rPr>
            </w:pPr>
            <w:r>
              <w:rPr>
                <w:rFonts w:hint="default" w:ascii="仿宋_GB2312" w:hAnsi="仿宋_GB2312" w:eastAsia="仿宋_GB2312" w:cs="仿宋_GB2312"/>
                <w:i w:val="0"/>
                <w:iCs w:val="0"/>
                <w:color w:val="000000"/>
                <w:kern w:val="0"/>
                <w:sz w:val="18"/>
                <w:szCs w:val="18"/>
                <w:u w:val="none"/>
                <w:lang w:val="en-US" w:eastAsia="zh-CN"/>
              </w:rPr>
              <w:t>为加强师资力量，根据培训任务要求，应急救护培训基地成立2个</w:t>
            </w:r>
          </w:p>
          <w:p w14:paraId="36554A21">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p>
        </w:tc>
      </w:tr>
      <w:tr w14:paraId="42B77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089B41">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55" w:type="pct"/>
            <w:vMerge w:val="continue"/>
            <w:tcBorders>
              <w:left w:val="single" w:color="auto" w:sz="4" w:space="0"/>
              <w:right w:val="single" w:color="auto" w:sz="4" w:space="0"/>
            </w:tcBorders>
            <w:shd w:val="clear" w:color="auto" w:fill="auto"/>
            <w:noWrap/>
            <w:vAlign w:val="center"/>
          </w:tcPr>
          <w:p w14:paraId="236CFC81">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14:paraId="16A0957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质量指标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57A7A7B1">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培训合格率</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2C987FC5">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349FFDFF">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eastAsia="zh-CN"/>
              </w:rPr>
              <w:t>计划标准</w:t>
            </w:r>
          </w:p>
        </w:tc>
        <w:tc>
          <w:tcPr>
            <w:tcW w:w="326" w:type="pct"/>
            <w:tcBorders>
              <w:top w:val="single" w:color="auto" w:sz="4" w:space="0"/>
              <w:left w:val="single" w:color="auto" w:sz="4" w:space="0"/>
              <w:bottom w:val="single" w:color="auto" w:sz="4" w:space="0"/>
              <w:right w:val="single" w:color="auto" w:sz="4" w:space="0"/>
            </w:tcBorders>
            <w:shd w:val="clear" w:color="auto" w:fill="auto"/>
            <w:vAlign w:val="center"/>
          </w:tcPr>
          <w:p w14:paraId="343D6FE9">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938411A">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4F195BD5">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按照完成比例赋分</w:t>
            </w:r>
          </w:p>
        </w:tc>
        <w:tc>
          <w:tcPr>
            <w:tcW w:w="273" w:type="pct"/>
            <w:tcBorders>
              <w:top w:val="single" w:color="auto" w:sz="4" w:space="0"/>
              <w:left w:val="single" w:color="auto" w:sz="4" w:space="0"/>
              <w:bottom w:val="single" w:color="auto" w:sz="4" w:space="0"/>
              <w:right w:val="single" w:color="auto" w:sz="4" w:space="0"/>
            </w:tcBorders>
            <w:shd w:val="clear" w:color="auto" w:fill="auto"/>
            <w:vAlign w:val="center"/>
          </w:tcPr>
          <w:p w14:paraId="00A03544">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工作资料、原始凭证、说明材料</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1CDB180B">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0F9ADB90">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r>
              <w:rPr>
                <w:rFonts w:hint="default" w:ascii="仿宋_GB2312" w:hAnsi="仿宋_GB2312" w:eastAsia="仿宋_GB2312" w:cs="仿宋_GB2312"/>
                <w:i w:val="0"/>
                <w:iCs w:val="0"/>
                <w:color w:val="000000"/>
                <w:kern w:val="0"/>
                <w:sz w:val="18"/>
                <w:szCs w:val="18"/>
                <w:u w:val="none"/>
                <w:lang w:val="en-US" w:eastAsia="zh-CN"/>
              </w:rPr>
              <w:t xml:space="preserve"> %</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7986C667">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5A338AB4">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p>
        </w:tc>
      </w:tr>
      <w:tr w14:paraId="69C3E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2B9132A">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55" w:type="pct"/>
            <w:vMerge w:val="continue"/>
            <w:tcBorders>
              <w:left w:val="single" w:color="auto" w:sz="4" w:space="0"/>
              <w:bottom w:val="single" w:color="auto" w:sz="4" w:space="0"/>
              <w:right w:val="single" w:color="auto" w:sz="4" w:space="0"/>
            </w:tcBorders>
            <w:shd w:val="clear" w:color="auto" w:fill="auto"/>
            <w:noWrap/>
            <w:vAlign w:val="center"/>
          </w:tcPr>
          <w:p w14:paraId="00FC8A51">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62" w:type="pct"/>
            <w:tcBorders>
              <w:top w:val="single" w:color="auto" w:sz="4" w:space="0"/>
              <w:left w:val="single" w:color="auto" w:sz="4" w:space="0"/>
              <w:bottom w:val="nil"/>
              <w:right w:val="single" w:color="auto" w:sz="4" w:space="0"/>
            </w:tcBorders>
            <w:shd w:val="clear" w:color="auto" w:fill="auto"/>
            <w:noWrap/>
            <w:vAlign w:val="center"/>
          </w:tcPr>
          <w:p w14:paraId="0A07F0A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6F5E9951">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培训工作按时完成率</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3F1175AA">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4CD41D02">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计划标准</w:t>
            </w:r>
          </w:p>
        </w:tc>
        <w:tc>
          <w:tcPr>
            <w:tcW w:w="326" w:type="pct"/>
            <w:tcBorders>
              <w:top w:val="single" w:color="auto" w:sz="4" w:space="0"/>
              <w:left w:val="single" w:color="auto" w:sz="4" w:space="0"/>
              <w:bottom w:val="single" w:color="auto" w:sz="4" w:space="0"/>
              <w:right w:val="single" w:color="auto" w:sz="4" w:space="0"/>
            </w:tcBorders>
            <w:shd w:val="clear" w:color="auto" w:fill="auto"/>
            <w:vAlign w:val="center"/>
          </w:tcPr>
          <w:p w14:paraId="202DFB64">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4F74BEE9">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7E2A8034">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按照完成比例赋分</w:t>
            </w:r>
          </w:p>
        </w:tc>
        <w:tc>
          <w:tcPr>
            <w:tcW w:w="273" w:type="pct"/>
            <w:tcBorders>
              <w:top w:val="single" w:color="auto" w:sz="4" w:space="0"/>
              <w:left w:val="single" w:color="auto" w:sz="4" w:space="0"/>
              <w:bottom w:val="single" w:color="auto" w:sz="4" w:space="0"/>
              <w:right w:val="single" w:color="auto" w:sz="4" w:space="0"/>
            </w:tcBorders>
            <w:shd w:val="clear" w:color="auto" w:fill="auto"/>
            <w:vAlign w:val="center"/>
          </w:tcPr>
          <w:p w14:paraId="33B77C8F">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工作资料、原始凭证、说明材料</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7CFD8A8E">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387937B0">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r>
              <w:rPr>
                <w:rFonts w:hint="default" w:ascii="仿宋_GB2312" w:hAnsi="仿宋_GB2312" w:eastAsia="仿宋_GB2312" w:cs="仿宋_GB2312"/>
                <w:i w:val="0"/>
                <w:iCs w:val="0"/>
                <w:color w:val="000000"/>
                <w:kern w:val="0"/>
                <w:sz w:val="18"/>
                <w:szCs w:val="18"/>
                <w:u w:val="none"/>
                <w:lang w:val="en-US" w:eastAsia="zh-CN"/>
              </w:rPr>
              <w:t xml:space="preserve"> %</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2F29DEE7">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79C5CF51">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p>
        </w:tc>
      </w:tr>
      <w:tr w14:paraId="49500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D88CB92">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0FA9FD3">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62" w:type="pct"/>
            <w:tcBorders>
              <w:top w:val="single" w:color="auto" w:sz="4" w:space="0"/>
              <w:left w:val="single" w:color="auto" w:sz="4" w:space="0"/>
              <w:bottom w:val="nil"/>
              <w:right w:val="single" w:color="auto" w:sz="4" w:space="0"/>
            </w:tcBorders>
            <w:shd w:val="clear" w:color="auto" w:fill="auto"/>
            <w:noWrap/>
            <w:vAlign w:val="center"/>
          </w:tcPr>
          <w:p w14:paraId="405AE4C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4DFA8224">
            <w:pPr>
              <w:pStyle w:val="2"/>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应急救援培训基地建设费用</w:t>
            </w:r>
          </w:p>
          <w:p w14:paraId="36C69145">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04FB4A75">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r>
              <w:rPr>
                <w:rFonts w:hint="default" w:ascii="仿宋_GB2312" w:hAnsi="仿宋_GB2312" w:eastAsia="仿宋_GB2312" w:cs="仿宋_GB2312"/>
                <w:i w:val="0"/>
                <w:iCs w:val="0"/>
                <w:color w:val="000000"/>
                <w:kern w:val="0"/>
                <w:sz w:val="18"/>
                <w:szCs w:val="18"/>
                <w:highlight w:val="none"/>
                <w:u w:val="none"/>
                <w:lang w:val="en-US" w:eastAsia="zh-CN"/>
              </w:rPr>
              <w:t>≤</w:t>
            </w:r>
            <w:r>
              <w:rPr>
                <w:rFonts w:hint="eastAsia" w:ascii="仿宋_GB2312" w:hAnsi="仿宋_GB2312" w:eastAsia="仿宋_GB2312" w:cs="仿宋_GB2312"/>
                <w:i w:val="0"/>
                <w:iCs w:val="0"/>
                <w:color w:val="000000"/>
                <w:kern w:val="0"/>
                <w:sz w:val="18"/>
                <w:szCs w:val="18"/>
                <w:highlight w:val="none"/>
                <w:u w:val="none"/>
                <w:lang w:val="en-US" w:eastAsia="zh-CN"/>
              </w:rPr>
              <w:t>10万元</w:t>
            </w:r>
          </w:p>
        </w:tc>
        <w:tc>
          <w:tcPr>
            <w:tcW w:w="410" w:type="pct"/>
            <w:tcBorders>
              <w:top w:val="single" w:color="auto" w:sz="4" w:space="0"/>
              <w:left w:val="single" w:color="auto" w:sz="4" w:space="0"/>
              <w:bottom w:val="nil"/>
              <w:right w:val="single" w:color="auto" w:sz="4" w:space="0"/>
            </w:tcBorders>
            <w:shd w:val="clear" w:color="auto" w:fill="auto"/>
            <w:vAlign w:val="center"/>
          </w:tcPr>
          <w:p w14:paraId="2C339527">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计划标准</w:t>
            </w:r>
          </w:p>
        </w:tc>
        <w:tc>
          <w:tcPr>
            <w:tcW w:w="326" w:type="pct"/>
            <w:tcBorders>
              <w:top w:val="single" w:color="auto" w:sz="4" w:space="0"/>
              <w:left w:val="single" w:color="auto" w:sz="4" w:space="0"/>
              <w:bottom w:val="single" w:color="auto" w:sz="4" w:space="0"/>
              <w:right w:val="single" w:color="auto" w:sz="4" w:space="0"/>
            </w:tcBorders>
            <w:shd w:val="clear" w:color="auto" w:fill="auto"/>
            <w:vAlign w:val="center"/>
          </w:tcPr>
          <w:p w14:paraId="345EE470">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431FA32">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20</w:t>
            </w:r>
          </w:p>
        </w:tc>
        <w:tc>
          <w:tcPr>
            <w:tcW w:w="311" w:type="pct"/>
            <w:tcBorders>
              <w:top w:val="single" w:color="auto" w:sz="4" w:space="0"/>
              <w:left w:val="single" w:color="auto" w:sz="4" w:space="0"/>
              <w:bottom w:val="nil"/>
              <w:right w:val="single" w:color="auto" w:sz="4" w:space="0"/>
            </w:tcBorders>
            <w:shd w:val="clear" w:color="auto" w:fill="auto"/>
            <w:vAlign w:val="center"/>
          </w:tcPr>
          <w:p w14:paraId="2ED518DF">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按照完成比例赋分</w:t>
            </w:r>
          </w:p>
        </w:tc>
        <w:tc>
          <w:tcPr>
            <w:tcW w:w="273" w:type="pct"/>
            <w:tcBorders>
              <w:top w:val="single" w:color="auto" w:sz="4" w:space="0"/>
              <w:left w:val="single" w:color="auto" w:sz="4" w:space="0"/>
              <w:bottom w:val="single" w:color="auto" w:sz="4" w:space="0"/>
              <w:right w:val="single" w:color="auto" w:sz="4" w:space="0"/>
            </w:tcBorders>
            <w:shd w:val="clear" w:color="auto" w:fill="auto"/>
            <w:vAlign w:val="center"/>
          </w:tcPr>
          <w:p w14:paraId="1872FCED">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工作资料、原始凭证、说明材料</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4F99124D">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7EC23E43">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=10万元</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49421B45">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20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647D552F">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r>
      <w:tr w14:paraId="6E81C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04C5C9A">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55" w:type="pct"/>
            <w:tcBorders>
              <w:top w:val="single" w:color="auto" w:sz="4" w:space="0"/>
              <w:left w:val="single" w:color="auto" w:sz="4" w:space="0"/>
              <w:right w:val="single" w:color="auto" w:sz="4" w:space="0"/>
            </w:tcBorders>
            <w:shd w:val="clear" w:color="auto" w:fill="auto"/>
            <w:vAlign w:val="center"/>
          </w:tcPr>
          <w:p w14:paraId="793B0D55">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效益指标</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14:paraId="2393211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社会效益指标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2AD4235F">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提高救护员取证率</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4C37CECF">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提高</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22E152C0">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计划标准</w:t>
            </w:r>
          </w:p>
        </w:tc>
        <w:tc>
          <w:tcPr>
            <w:tcW w:w="326" w:type="pct"/>
            <w:tcBorders>
              <w:top w:val="single" w:color="auto" w:sz="4" w:space="0"/>
              <w:left w:val="single" w:color="auto" w:sz="4" w:space="0"/>
              <w:bottom w:val="single" w:color="auto" w:sz="4" w:space="0"/>
              <w:right w:val="single" w:color="auto" w:sz="4" w:space="0"/>
            </w:tcBorders>
            <w:shd w:val="clear" w:color="auto" w:fill="auto"/>
            <w:vAlign w:val="center"/>
          </w:tcPr>
          <w:p w14:paraId="5F99C676">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7FB913C">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20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7DE56CE0">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按评判等级赋分</w:t>
            </w:r>
          </w:p>
        </w:tc>
        <w:tc>
          <w:tcPr>
            <w:tcW w:w="273" w:type="pct"/>
            <w:tcBorders>
              <w:top w:val="single" w:color="auto" w:sz="4" w:space="0"/>
              <w:left w:val="single" w:color="auto" w:sz="4" w:space="0"/>
              <w:bottom w:val="single" w:color="auto" w:sz="4" w:space="0"/>
              <w:right w:val="single" w:color="auto" w:sz="4" w:space="0"/>
            </w:tcBorders>
            <w:shd w:val="clear" w:color="auto" w:fill="auto"/>
            <w:vAlign w:val="center"/>
          </w:tcPr>
          <w:p w14:paraId="33EE8CEC">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工作资料、原始凭证、说明材料</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2177D35F">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191A6FE7">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提高</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23BEB3CA">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20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568EDD46">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r>
      <w:tr w14:paraId="04F6B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EDB0638">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64E4E7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满意度指标</w:t>
            </w:r>
          </w:p>
        </w:tc>
        <w:tc>
          <w:tcPr>
            <w:tcW w:w="462" w:type="pct"/>
            <w:tcBorders>
              <w:top w:val="single" w:color="auto" w:sz="4" w:space="0"/>
              <w:left w:val="single" w:color="auto" w:sz="4" w:space="0"/>
              <w:bottom w:val="single" w:color="auto" w:sz="4" w:space="0"/>
              <w:right w:val="single" w:color="auto" w:sz="4" w:space="0"/>
            </w:tcBorders>
            <w:shd w:val="clear" w:color="auto" w:fill="auto"/>
            <w:vAlign w:val="center"/>
          </w:tcPr>
          <w:p w14:paraId="3B6EFB16">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满意度指标</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066068F4">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培训人员满意度</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352869B7">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p>
        </w:tc>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14:paraId="6053AF87">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计划标准</w:t>
            </w:r>
          </w:p>
        </w:tc>
        <w:tc>
          <w:tcPr>
            <w:tcW w:w="326" w:type="pct"/>
            <w:tcBorders>
              <w:top w:val="single" w:color="auto" w:sz="4" w:space="0"/>
              <w:left w:val="single" w:color="auto" w:sz="4" w:space="0"/>
              <w:bottom w:val="single" w:color="auto" w:sz="4" w:space="0"/>
              <w:right w:val="single" w:color="auto" w:sz="4" w:space="0"/>
            </w:tcBorders>
            <w:shd w:val="clear" w:color="auto" w:fill="auto"/>
            <w:vAlign w:val="center"/>
          </w:tcPr>
          <w:p w14:paraId="04FA8C68">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1E9F9817">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7F726DA8">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按照完成比例赋分</w:t>
            </w:r>
          </w:p>
        </w:tc>
        <w:tc>
          <w:tcPr>
            <w:tcW w:w="273" w:type="pct"/>
            <w:tcBorders>
              <w:top w:val="single" w:color="auto" w:sz="4" w:space="0"/>
              <w:left w:val="single" w:color="auto" w:sz="4" w:space="0"/>
              <w:bottom w:val="single" w:color="auto" w:sz="4" w:space="0"/>
              <w:right w:val="single" w:color="auto" w:sz="4" w:space="0"/>
            </w:tcBorders>
            <w:shd w:val="clear" w:color="auto" w:fill="auto"/>
            <w:vAlign w:val="center"/>
          </w:tcPr>
          <w:p w14:paraId="7324122F">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工作资料、原始凭证、说明材料</w:t>
            </w: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2C605A03">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3718F6E2">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r>
              <w:rPr>
                <w:rFonts w:hint="default" w:ascii="仿宋_GB2312" w:hAnsi="仿宋_GB2312" w:eastAsia="仿宋_GB2312" w:cs="仿宋_GB2312"/>
                <w:i w:val="0"/>
                <w:iCs w:val="0"/>
                <w:color w:val="000000"/>
                <w:kern w:val="0"/>
                <w:sz w:val="18"/>
                <w:szCs w:val="18"/>
                <w:u w:val="none"/>
                <w:lang w:val="en-US" w:eastAsia="zh-CN"/>
              </w:rPr>
              <w:t xml:space="preserve"> %</w:t>
            </w: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35445CE0">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645FCE3B">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r>
      <w:tr w14:paraId="4DFC8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auto" w:sz="4" w:space="0"/>
              <w:left w:val="single" w:color="auto" w:sz="4" w:space="0"/>
              <w:bottom w:val="single" w:color="auto" w:sz="4" w:space="0"/>
              <w:right w:val="nil"/>
            </w:tcBorders>
            <w:shd w:val="clear" w:color="auto" w:fill="auto"/>
            <w:vAlign w:val="center"/>
          </w:tcPr>
          <w:p w14:paraId="162A69B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总分</w:t>
            </w:r>
          </w:p>
        </w:tc>
        <w:tc>
          <w:tcPr>
            <w:tcW w:w="402" w:type="pct"/>
            <w:tcBorders>
              <w:top w:val="single" w:color="auto" w:sz="4" w:space="0"/>
              <w:left w:val="single" w:color="auto" w:sz="4" w:space="0"/>
              <w:bottom w:val="single" w:color="auto" w:sz="4" w:space="0"/>
              <w:right w:val="single" w:color="auto" w:sz="4" w:space="0"/>
            </w:tcBorders>
            <w:shd w:val="clear" w:color="auto" w:fill="auto"/>
            <w:vAlign w:val="center"/>
          </w:tcPr>
          <w:p w14:paraId="0FBB88CA">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410" w:type="pct"/>
            <w:tcBorders>
              <w:top w:val="single" w:color="auto" w:sz="4" w:space="0"/>
              <w:left w:val="nil"/>
              <w:bottom w:val="single" w:color="auto" w:sz="4" w:space="0"/>
              <w:right w:val="single" w:color="auto" w:sz="4" w:space="0"/>
            </w:tcBorders>
            <w:shd w:val="clear" w:color="auto" w:fill="auto"/>
            <w:vAlign w:val="center"/>
          </w:tcPr>
          <w:p w14:paraId="5677211E">
            <w:pPr>
              <w:keepNext w:val="0"/>
              <w:keepLines w:val="0"/>
              <w:pageBreakBefore w:val="0"/>
              <w:kinsoku/>
              <w:wordWrap/>
              <w:overflowPunct/>
              <w:topLinePunct w:val="0"/>
              <w:autoSpaceDE/>
              <w:autoSpaceDN/>
              <w:bidi w:val="0"/>
              <w:adjustRightInd/>
              <w:snapToGrid/>
              <w:spacing w:line="160" w:lineRule="exact"/>
              <w:rPr>
                <w:rFonts w:hint="eastAsia" w:ascii="仿宋_GB2312" w:hAnsi="仿宋_GB2312" w:eastAsia="仿宋_GB2312" w:cs="仿宋_GB2312"/>
                <w:b/>
                <w:bCs/>
                <w:i w:val="0"/>
                <w:iCs w:val="0"/>
                <w:color w:val="000000"/>
                <w:sz w:val="18"/>
                <w:szCs w:val="18"/>
                <w:u w:val="none"/>
              </w:rPr>
            </w:pPr>
          </w:p>
        </w:tc>
        <w:tc>
          <w:tcPr>
            <w:tcW w:w="326" w:type="pct"/>
            <w:tcBorders>
              <w:top w:val="single" w:color="auto" w:sz="4" w:space="0"/>
              <w:left w:val="single" w:color="auto" w:sz="4" w:space="0"/>
              <w:bottom w:val="single" w:color="auto" w:sz="4" w:space="0"/>
              <w:right w:val="single" w:color="auto" w:sz="4" w:space="0"/>
            </w:tcBorders>
            <w:shd w:val="clear" w:color="auto" w:fill="auto"/>
            <w:vAlign w:val="center"/>
          </w:tcPr>
          <w:p w14:paraId="07AA6C29">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681B18F">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0820FE86">
            <w:pPr>
              <w:keepNext w:val="0"/>
              <w:keepLines w:val="0"/>
              <w:pageBreakBefore w:val="0"/>
              <w:kinsoku/>
              <w:wordWrap/>
              <w:overflowPunct/>
              <w:topLinePunct w:val="0"/>
              <w:autoSpaceDE/>
              <w:autoSpaceDN/>
              <w:bidi w:val="0"/>
              <w:adjustRightInd/>
              <w:snapToGrid/>
              <w:spacing w:line="160" w:lineRule="exact"/>
              <w:jc w:val="center"/>
              <w:rPr>
                <w:rFonts w:hint="eastAsia" w:ascii="仿宋_GB2312" w:hAnsi="仿宋_GB2312" w:eastAsia="仿宋_GB2312" w:cs="仿宋_GB2312"/>
                <w:i w:val="0"/>
                <w:iCs w:val="0"/>
                <w:color w:val="000000"/>
                <w:sz w:val="18"/>
                <w:szCs w:val="18"/>
                <w:u w:val="none"/>
              </w:rPr>
            </w:pPr>
          </w:p>
        </w:tc>
        <w:tc>
          <w:tcPr>
            <w:tcW w:w="273" w:type="pct"/>
            <w:tcBorders>
              <w:top w:val="single" w:color="auto" w:sz="4" w:space="0"/>
              <w:left w:val="single" w:color="auto" w:sz="4" w:space="0"/>
              <w:bottom w:val="single" w:color="auto" w:sz="4" w:space="0"/>
              <w:right w:val="single" w:color="auto" w:sz="4" w:space="0"/>
            </w:tcBorders>
            <w:shd w:val="clear" w:color="auto" w:fill="auto"/>
            <w:vAlign w:val="center"/>
          </w:tcPr>
          <w:p w14:paraId="7C098DCD">
            <w:pPr>
              <w:keepNext w:val="0"/>
              <w:keepLines w:val="0"/>
              <w:pageBreakBefore w:val="0"/>
              <w:kinsoku/>
              <w:wordWrap/>
              <w:overflowPunct/>
              <w:topLinePunct w:val="0"/>
              <w:autoSpaceDE/>
              <w:autoSpaceDN/>
              <w:bidi w:val="0"/>
              <w:adjustRightInd/>
              <w:snapToGrid/>
              <w:spacing w:line="160" w:lineRule="exact"/>
              <w:rPr>
                <w:rFonts w:hint="eastAsia" w:ascii="仿宋_GB2312" w:hAnsi="仿宋_GB2312" w:eastAsia="仿宋_GB2312" w:cs="仿宋_GB2312"/>
                <w:i w:val="0"/>
                <w:iCs w:val="0"/>
                <w:color w:val="000000"/>
                <w:sz w:val="18"/>
                <w:szCs w:val="18"/>
                <w:u w:val="none"/>
              </w:rPr>
            </w:pPr>
          </w:p>
        </w:tc>
        <w:tc>
          <w:tcPr>
            <w:tcW w:w="364" w:type="pct"/>
            <w:tcBorders>
              <w:top w:val="single" w:color="auto" w:sz="4" w:space="0"/>
              <w:left w:val="single" w:color="auto" w:sz="4" w:space="0"/>
              <w:bottom w:val="single" w:color="auto" w:sz="4" w:space="0"/>
              <w:right w:val="single" w:color="auto" w:sz="4" w:space="0"/>
            </w:tcBorders>
            <w:shd w:val="clear" w:color="auto" w:fill="auto"/>
            <w:vAlign w:val="center"/>
          </w:tcPr>
          <w:p w14:paraId="71D8A283">
            <w:pPr>
              <w:keepNext w:val="0"/>
              <w:keepLines w:val="0"/>
              <w:pageBreakBefore w:val="0"/>
              <w:kinsoku/>
              <w:wordWrap/>
              <w:overflowPunct/>
              <w:topLinePunct w:val="0"/>
              <w:autoSpaceDE/>
              <w:autoSpaceDN/>
              <w:bidi w:val="0"/>
              <w:adjustRightInd/>
              <w:snapToGrid/>
              <w:spacing w:line="160" w:lineRule="exact"/>
              <w:rPr>
                <w:rFonts w:hint="eastAsia" w:ascii="仿宋_GB2312" w:hAnsi="仿宋_GB2312" w:eastAsia="仿宋_GB2312" w:cs="仿宋_GB2312"/>
                <w:i w:val="0"/>
                <w:iCs w:val="0"/>
                <w:color w:val="000000"/>
                <w:sz w:val="18"/>
                <w:szCs w:val="18"/>
                <w:u w:val="none"/>
              </w:rPr>
            </w:pPr>
          </w:p>
        </w:tc>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14:paraId="54080491">
            <w:pPr>
              <w:keepNext w:val="0"/>
              <w:keepLines w:val="0"/>
              <w:pageBreakBefore w:val="0"/>
              <w:kinsoku/>
              <w:wordWrap/>
              <w:overflowPunct/>
              <w:topLinePunct w:val="0"/>
              <w:autoSpaceDE/>
              <w:autoSpaceDN/>
              <w:bidi w:val="0"/>
              <w:adjustRightInd/>
              <w:snapToGrid/>
              <w:spacing w:line="160" w:lineRule="exact"/>
              <w:rPr>
                <w:rFonts w:hint="eastAsia" w:ascii="仿宋_GB2312" w:hAnsi="仿宋_GB2312" w:eastAsia="仿宋_GB2312" w:cs="仿宋_GB2312"/>
                <w:i w:val="0"/>
                <w:iCs w:val="0"/>
                <w:color w:val="000000"/>
                <w:sz w:val="18"/>
                <w:szCs w:val="18"/>
                <w:u w:val="none"/>
              </w:rPr>
            </w:pPr>
          </w:p>
        </w:tc>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688DAC5B">
            <w:pPr>
              <w:keepNext w:val="0"/>
              <w:keepLines w:val="0"/>
              <w:pageBreakBefore w:val="0"/>
              <w:kinsoku/>
              <w:wordWrap/>
              <w:overflowPunct/>
              <w:topLinePunct w:val="0"/>
              <w:autoSpaceDE/>
              <w:autoSpaceDN/>
              <w:bidi w:val="0"/>
              <w:adjustRightInd/>
              <w:snapToGrid/>
              <w:spacing w:line="160" w:lineRule="exact"/>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1EF5B666">
            <w:pPr>
              <w:keepNext w:val="0"/>
              <w:keepLines w:val="0"/>
              <w:pageBreakBefore w:val="0"/>
              <w:kinsoku/>
              <w:wordWrap/>
              <w:overflowPunct/>
              <w:topLinePunct w:val="0"/>
              <w:autoSpaceDE/>
              <w:autoSpaceDN/>
              <w:bidi w:val="0"/>
              <w:adjustRightInd/>
              <w:snapToGrid/>
              <w:spacing w:line="160" w:lineRule="exact"/>
              <w:rPr>
                <w:rFonts w:hint="eastAsia" w:ascii="仿宋_GB2312" w:hAnsi="仿宋_GB2312" w:eastAsia="仿宋_GB2312" w:cs="仿宋_GB2312"/>
                <w:i w:val="0"/>
                <w:iCs w:val="0"/>
                <w:color w:val="000000"/>
                <w:sz w:val="18"/>
                <w:szCs w:val="18"/>
                <w:u w:val="none"/>
              </w:rPr>
            </w:pPr>
          </w:p>
        </w:tc>
      </w:tr>
    </w:tbl>
    <w:p w14:paraId="4FC80BA8">
      <w:pPr>
        <w:pageBreakBefore w:val="0"/>
        <w:kinsoku/>
        <w:wordWrap/>
        <w:overflowPunct/>
        <w:topLinePunct w:val="0"/>
        <w:bidi w:val="0"/>
        <w:snapToGrid/>
        <w:spacing w:line="560" w:lineRule="atLeast"/>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附件2</w:t>
      </w:r>
    </w:p>
    <w:p w14:paraId="02052B55">
      <w:pPr>
        <w:pStyle w:val="22"/>
        <w:pageBreakBefore w:val="0"/>
        <w:kinsoku/>
        <w:wordWrap/>
        <w:overflowPunct/>
        <w:topLinePunct w:val="0"/>
        <w:bidi w:val="0"/>
        <w:snapToGrid/>
        <w:spacing w:line="560" w:lineRule="atLeast"/>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应急救护培训基地项目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00"/>
        <w:gridCol w:w="995"/>
        <w:gridCol w:w="1066"/>
        <w:gridCol w:w="1718"/>
        <w:gridCol w:w="5191"/>
        <w:gridCol w:w="1293"/>
        <w:gridCol w:w="1359"/>
      </w:tblGrid>
      <w:tr w14:paraId="560B99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7F4CA6A7">
            <w:pPr>
              <w:pageBreakBefore w:val="0"/>
              <w:widowControl/>
              <w:kinsoku/>
              <w:wordWrap/>
              <w:overflowPunct/>
              <w:topLinePunct w:val="0"/>
              <w:bidi w:val="0"/>
              <w:snapToGrid/>
              <w:spacing w:line="56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549511BC">
            <w:pPr>
              <w:pageBreakBefore w:val="0"/>
              <w:widowControl/>
              <w:kinsoku/>
              <w:wordWrap/>
              <w:overflowPunct/>
              <w:topLinePunct w:val="0"/>
              <w:bidi w:val="0"/>
              <w:snapToGrid/>
              <w:spacing w:line="56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3D2D42A2">
            <w:pPr>
              <w:pageBreakBefore w:val="0"/>
              <w:widowControl/>
              <w:kinsoku/>
              <w:wordWrap/>
              <w:overflowPunct/>
              <w:topLinePunct w:val="0"/>
              <w:bidi w:val="0"/>
              <w:snapToGrid/>
              <w:spacing w:line="56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25663A92">
            <w:pPr>
              <w:pageBreakBefore w:val="0"/>
              <w:widowControl/>
              <w:kinsoku/>
              <w:wordWrap/>
              <w:overflowPunct/>
              <w:topLinePunct w:val="0"/>
              <w:bidi w:val="0"/>
              <w:snapToGrid/>
              <w:spacing w:line="56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4C7074F2">
            <w:pPr>
              <w:pageBreakBefore w:val="0"/>
              <w:widowControl/>
              <w:kinsoku/>
              <w:wordWrap/>
              <w:overflowPunct/>
              <w:topLinePunct w:val="0"/>
              <w:bidi w:val="0"/>
              <w:snapToGrid/>
              <w:spacing w:line="56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04BCBD07">
            <w:pPr>
              <w:pageBreakBefore w:val="0"/>
              <w:widowControl/>
              <w:kinsoku/>
              <w:wordWrap/>
              <w:overflowPunct/>
              <w:topLinePunct w:val="0"/>
              <w:bidi w:val="0"/>
              <w:snapToGrid/>
              <w:spacing w:line="56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387B5AA2">
            <w:pPr>
              <w:pageBreakBefore w:val="0"/>
              <w:widowControl/>
              <w:kinsoku/>
              <w:wordWrap/>
              <w:overflowPunct/>
              <w:topLinePunct w:val="0"/>
              <w:bidi w:val="0"/>
              <w:snapToGrid/>
              <w:spacing w:line="56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5D1618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0E1A744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5ADCCD3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5DACFE1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01678EB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746C9E5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475C4EC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16D1BBD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14:paraId="08D81DB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14:paraId="6D36B05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0DF462B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14:paraId="0CF44AF7">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14:paraId="554D4833">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14:paraId="56EFE91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7A1C2A1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EE160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6087B6E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007313E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11709F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2DA11D6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14:paraId="037FB483">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14:paraId="024397BC">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14:paraId="38A2AF2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54BDCF5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1FC3E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1CE2DB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14:paraId="52058FC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14:paraId="49CD8C7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1A952C4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14:paraId="26AB0099">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14:paraId="558B88EB">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560C0160">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14:paraId="007C90A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2ECFC7F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8559D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5D4E251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5BB498F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3A79BDC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592B834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14:paraId="21E49733">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14:paraId="7D194D2F">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14:paraId="63C2949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643FF75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D5A22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0F24CC3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14:paraId="2496AA8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1824148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14:paraId="3F8A7BD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35A9222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14:paraId="45942E02">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7CE01B10">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14:paraId="3BBF274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66C7DA4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4F2E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056A05C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6310C67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2A92A6B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4553AEB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14:paraId="6437E460">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5BA8AF96">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14:paraId="3C4939B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529DEFA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6E6A1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27E691A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7C4EC41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217CE88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6C38EB6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2ADF2DB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5E4D4D1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566E039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5A3CC94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20E1E35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3B68AF9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28FF83D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4F6A888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34B0576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79C8500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5F0FA8F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p w14:paraId="3712796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2957530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14:paraId="730E082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103864C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14:paraId="111D3573">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14:paraId="5AAE8077">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7E481898">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07C650BA">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14:paraId="74A978C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6867D65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B040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7E9DADE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729AAEB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3095B5C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14:paraId="3CCC2B17">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14:paraId="323A3667">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14:paraId="3F4036A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3360761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2FBEA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07EDC5E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6D1E7FF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4EDD755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4FED955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14:paraId="4829D550">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14:paraId="39FE2451">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14:paraId="7C97315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489CAAF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72BF4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0C3B4DE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14:paraId="6165AB7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70CDDBE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14:paraId="6BD2D5F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4B656D0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14:paraId="78F0B673">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14:paraId="7C47EA96">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14:paraId="1396979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4DE6119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4C935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1693194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3F34BB4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831EB7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13EB740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14:paraId="281C3158">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14:paraId="1BCA1B4F">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14:paraId="555544F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2726FC7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9608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28E54B5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14:paraId="12DD2F6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14:paraId="32010F4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14:paraId="291E99BF">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14:paraId="7B40198E">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6F79AB2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5B079B7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3A8FA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31D7258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1B7ACD8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14:paraId="777AC0F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14:paraId="4F727357">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14:paraId="577E26D1">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22682D1C">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7B21E2F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696ECA9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F0C71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4F90F64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4D1862B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14:paraId="5E3FFAD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14:paraId="016DFF0A">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14:paraId="08FB70D8">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14:paraId="346C14D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29CCE3A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41A4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61050F4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14:paraId="57B9292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14:paraId="1A59E34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14:paraId="734A489C">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14:paraId="46595E5F">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000855D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7DA087D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16D76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3953C7F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14:paraId="4F3678A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14:paraId="0B53E0D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14:paraId="54EBC36D">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14:paraId="38CD8F7E">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052B59E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14:paraId="6B6DAE4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C90F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0289D69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14:paraId="00956C1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5D42F7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14:paraId="2F506531">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14:paraId="28327B6A">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39CF99E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46D6379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7A520FBD">
      <w:pPr>
        <w:pageBreakBefore w:val="0"/>
        <w:kinsoku/>
        <w:wordWrap/>
        <w:overflowPunct/>
        <w:topLinePunct w:val="0"/>
        <w:bidi w:val="0"/>
        <w:snapToGrid/>
        <w:spacing w:line="560" w:lineRule="atLeast"/>
        <w:rPr>
          <w:rFonts w:hint="default" w:ascii="Times New Roman" w:hAnsi="Times New Roman" w:cs="Times New Roman"/>
        </w:rPr>
      </w:pPr>
    </w:p>
    <w:sectPr>
      <w:pgSz w:w="16838" w:h="11906" w:orient="landscape"/>
      <w:pgMar w:top="2098" w:right="1474" w:bottom="1984" w:left="147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C303214-81C4-497E-A03C-49840BE20BC7}"/>
  </w:font>
  <w:font w:name="黑体">
    <w:panose1 w:val="02010609060101010101"/>
    <w:charset w:val="86"/>
    <w:family w:val="auto"/>
    <w:pitch w:val="default"/>
    <w:sig w:usb0="800002BF" w:usb1="38CF7CFA" w:usb2="00000016" w:usb3="00000000" w:csb0="00040001" w:csb1="00000000"/>
    <w:embedRegular r:id="rId2" w:fontKey="{D1246C60-4174-4DF1-AA30-1E1BFB35FD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75FC75D5-47CB-4192-A344-56D917898A41}"/>
  </w:font>
  <w:font w:name="华文中宋">
    <w:panose1 w:val="02010600040101010101"/>
    <w:charset w:val="86"/>
    <w:family w:val="auto"/>
    <w:pitch w:val="default"/>
    <w:sig w:usb0="00000287" w:usb1="080F0000" w:usb2="00000000" w:usb3="00000000" w:csb0="0004009F" w:csb1="DFD70000"/>
    <w:embedRegular r:id="rId4" w:fontKey="{E075FD43-2981-442F-80E2-21AC40E25B7B}"/>
  </w:font>
  <w:font w:name="方正小标宋_GBK">
    <w:panose1 w:val="02000000000000000000"/>
    <w:charset w:val="86"/>
    <w:family w:val="script"/>
    <w:pitch w:val="default"/>
    <w:sig w:usb0="A00002BF" w:usb1="38CF7CFA" w:usb2="00082016" w:usb3="00000000" w:csb0="00040001" w:csb1="00000000"/>
    <w:embedRegular r:id="rId5" w:fontKey="{FA0046D7-DB72-4473-B126-2422BAD7CC7F}"/>
  </w:font>
  <w:font w:name="楷体_GB2312">
    <w:panose1 w:val="02010609030101010101"/>
    <w:charset w:val="86"/>
    <w:family w:val="auto"/>
    <w:pitch w:val="default"/>
    <w:sig w:usb0="00000001" w:usb1="080E0000" w:usb2="00000000" w:usb3="00000000" w:csb0="00040000" w:csb1="00000000"/>
    <w:embedRegular r:id="rId6" w:fontKey="{62CF2A66-307B-4DEE-97F1-2A5D41A1A63B}"/>
  </w:font>
  <w:font w:name="方正仿宋_GBK">
    <w:panose1 w:val="02000000000000000000"/>
    <w:charset w:val="86"/>
    <w:family w:val="auto"/>
    <w:pitch w:val="default"/>
    <w:sig w:usb0="A00002BF" w:usb1="38CF7CFA" w:usb2="00082016" w:usb3="00000000" w:csb0="00040001" w:csb1="00000000"/>
    <w:embedRegular r:id="rId7" w:fontKey="{F5959D9A-FD64-4663-AB1C-160E815457F5}"/>
  </w:font>
  <w:font w:name="楷体">
    <w:panose1 w:val="02010609060101010101"/>
    <w:charset w:val="86"/>
    <w:family w:val="auto"/>
    <w:pitch w:val="default"/>
    <w:sig w:usb0="800002BF" w:usb1="38CF7CFA" w:usb2="00000016" w:usb3="00000000" w:csb0="00040001" w:csb1="00000000"/>
    <w:embedRegular r:id="rId8" w:fontKey="{B683E6C2-C19B-49B3-A161-4C5EF3D17BE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A8CA78D">
        <w:pPr>
          <w:pStyle w:val="8"/>
          <w:jc w:val="center"/>
        </w:pPr>
        <w:r>
          <w:fldChar w:fldCharType="begin"/>
        </w:r>
        <w:r>
          <w:instrText xml:space="preserve">PAGE   \* MERGEFORMAT</w:instrText>
        </w:r>
        <w:r>
          <w:fldChar w:fldCharType="separate"/>
        </w:r>
        <w:r>
          <w:rPr>
            <w:lang w:val="zh-CN"/>
          </w:rPr>
          <w:t>13</w:t>
        </w:r>
        <w:r>
          <w:fldChar w:fldCharType="end"/>
        </w:r>
      </w:p>
    </w:sdtContent>
  </w:sdt>
  <w:p w14:paraId="5EF861C1">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66E600A5"/>
    <w:rsid w:val="745E455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rPr>
  </w:style>
  <w:style w:type="paragraph" w:styleId="5">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HTML Address"/>
    <w:basedOn w:val="1"/>
    <w:next w:val="3"/>
    <w:qFormat/>
    <w:uiPriority w:val="0"/>
    <w:rPr>
      <w:i/>
      <w:iCs/>
    </w:rPr>
  </w:style>
  <w:style w:type="paragraph" w:styleId="3">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3"/>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First Indent"/>
    <w:basedOn w:val="3"/>
    <w:qFormat/>
    <w:uiPriority w:val="0"/>
    <w:pPr>
      <w:spacing w:after="0"/>
      <w:ind w:firstLine="200" w:firstLineChars="200"/>
    </w:pPr>
  </w:style>
  <w:style w:type="paragraph" w:styleId="13">
    <w:name w:val="Body Text First Indent 2"/>
    <w:basedOn w:val="6"/>
    <w:qFormat/>
    <w:uiPriority w:val="0"/>
    <w:pPr>
      <w:ind w:firstLine="420" w:firstLineChars="200"/>
    </w:pPr>
  </w:style>
  <w:style w:type="table" w:styleId="1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qFormat/>
    <w:uiPriority w:val="0"/>
    <w:rPr>
      <w:b/>
      <w:bCs/>
    </w:rPr>
  </w:style>
  <w:style w:type="paragraph" w:customStyle="1" w:styleId="18">
    <w:name w:val="Comment Text"/>
    <w:basedOn w:val="1"/>
    <w:link w:val="25"/>
    <w:qFormat/>
    <w:uiPriority w:val="0"/>
    <w:pPr>
      <w:jc w:val="left"/>
    </w:pPr>
  </w:style>
  <w:style w:type="paragraph" w:customStyle="1" w:styleId="19">
    <w:name w:val="Comment Subject"/>
    <w:basedOn w:val="18"/>
    <w:next w:val="18"/>
    <w:link w:val="26"/>
    <w:qFormat/>
    <w:uiPriority w:val="0"/>
    <w:rPr>
      <w:b/>
      <w:bCs/>
    </w:rPr>
  </w:style>
  <w:style w:type="character" w:customStyle="1" w:styleId="20">
    <w:name w:val="Comment Reference"/>
    <w:basedOn w:val="16"/>
    <w:qFormat/>
    <w:uiPriority w:val="0"/>
    <w:rPr>
      <w:sz w:val="21"/>
      <w:szCs w:val="21"/>
    </w:rPr>
  </w:style>
  <w:style w:type="character" w:customStyle="1" w:styleId="21">
    <w:name w:val="fontstyle01"/>
    <w:qFormat/>
    <w:uiPriority w:val="0"/>
    <w:rPr>
      <w:rFonts w:ascii="仿宋_GB2312" w:hAnsi="仿宋_GB2312" w:eastAsia="仿宋_GB2312" w:cs="仿宋_GB2312"/>
      <w:color w:val="000000"/>
      <w:sz w:val="32"/>
      <w:szCs w:val="32"/>
    </w:rPr>
  </w:style>
  <w:style w:type="paragraph" w:customStyle="1" w:styleId="22">
    <w:name w:val="闻政-正文段落文字"/>
    <w:basedOn w:val="1"/>
    <w:qFormat/>
    <w:uiPriority w:val="3"/>
    <w:pPr>
      <w:spacing w:line="500" w:lineRule="exact"/>
      <w:ind w:firstLine="200"/>
    </w:pPr>
    <w:rPr>
      <w:kern w:val="0"/>
      <w:szCs w:val="28"/>
    </w:rPr>
  </w:style>
  <w:style w:type="character" w:customStyle="1" w:styleId="23">
    <w:name w:val="批注框文本 字符"/>
    <w:basedOn w:val="16"/>
    <w:link w:val="7"/>
    <w:qFormat/>
    <w:uiPriority w:val="0"/>
    <w:rPr>
      <w:rFonts w:ascii="Times New Roman" w:hAnsi="Times New Roman" w:eastAsia="宋体" w:cs="Times New Roman"/>
      <w:kern w:val="2"/>
      <w:sz w:val="18"/>
      <w:szCs w:val="18"/>
    </w:rPr>
  </w:style>
  <w:style w:type="character" w:customStyle="1" w:styleId="24">
    <w:name w:val="页眉 字符"/>
    <w:basedOn w:val="16"/>
    <w:link w:val="9"/>
    <w:qFormat/>
    <w:uiPriority w:val="0"/>
    <w:rPr>
      <w:rFonts w:ascii="Times New Roman" w:hAnsi="Times New Roman" w:eastAsia="宋体" w:cs="Times New Roman"/>
      <w:kern w:val="2"/>
      <w:sz w:val="18"/>
      <w:szCs w:val="18"/>
    </w:rPr>
  </w:style>
  <w:style w:type="character" w:customStyle="1" w:styleId="25">
    <w:name w:val="批注文字 字符"/>
    <w:basedOn w:val="16"/>
    <w:link w:val="18"/>
    <w:qFormat/>
    <w:uiPriority w:val="0"/>
    <w:rPr>
      <w:rFonts w:ascii="Times New Roman" w:hAnsi="Times New Roman" w:eastAsia="宋体" w:cs="Times New Roman"/>
      <w:kern w:val="2"/>
      <w:sz w:val="21"/>
      <w:szCs w:val="24"/>
    </w:rPr>
  </w:style>
  <w:style w:type="character" w:customStyle="1" w:styleId="26">
    <w:name w:val="批注主题 字符"/>
    <w:basedOn w:val="25"/>
    <w:link w:val="19"/>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EC99773F21B349659AE205148812517A_13</vt:lpwstr>
  </property>
  <property fmtid="{D5CDD505-2E9C-101B-9397-08002B2CF9AE}" pid="4" name="KSOTemplateDocerSaveRecord">
    <vt:lpwstr>eyJoZGlkIjoiY2UxYTY5Njg0NWU1NDU5MmE3NzhjZDNiMDAyZDZjNWUiLCJ1c2VySWQiOiIxMTEwNzY4OCJ9</vt:lpwstr>
  </property>
</Properties>
</file>

<file path=customXml/itemProps1.xml><?xml version="1.0" encoding="utf-8"?>
<ds:datastoreItem xmlns:ds="http://schemas.openxmlformats.org/officeDocument/2006/customXml" ds:itemID="{71ae4f53-e7ae-4c53-a926-79bf94ec0d0c}">
  <ds:schemaRefs/>
</ds:datastoreItem>
</file>

<file path=docProps/app.xml><?xml version="1.0" encoding="utf-8"?>
<Properties xmlns="http://schemas.openxmlformats.org/officeDocument/2006/extended-properties" xmlns:vt="http://schemas.openxmlformats.org/officeDocument/2006/docPropsVTypes">
  <Template>Normal</Template>
  <Pages>30</Pages>
  <Words>2598</Words>
  <Characters>2648</Characters>
  <Lines>58</Lines>
  <Paragraphs>16</Paragraphs>
  <TotalTime>23</TotalTime>
  <ScaleCrop>false</ScaleCrop>
  <LinksUpToDate>false</LinksUpToDate>
  <CharactersWithSpaces>2649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dcterms:modified xsi:type="dcterms:W3CDTF">2025-08-29T09:03:18Z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EC99773F21B349659AE205148812517A_13</vt:lpwstr>
  </property>
  <property fmtid="{D5CDD505-2E9C-101B-9397-08002B2CF9AE}" pid="4" name="KSOTemplateDocerSaveRecord">
    <vt:lpwstr>eyJoZGlkIjoiYmMxZDY5OGZlYzU4ZGEwZmUyZWNkMmU5NzBiZTFjZWEiLCJ1c2VySWQiOiI0MzE2NzY3NzkifQ==</vt:lpwstr>
  </property>
</Properties>
</file>